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9.odttf" ContentType="application/vnd.openxmlformats-officedocument.obfuscatedFont"/>
  <Override PartName="/word/fonts/font15.odttf" ContentType="application/vnd.openxmlformats-officedocument.obfuscatedFont"/>
  <Override PartName="/word/fonts/font8.odttf" ContentType="application/vnd.openxmlformats-officedocument.obfuscatedFont"/>
  <Override PartName="/word/fonts/font14.odttf" ContentType="application/vnd.openxmlformats-officedocument.obfuscatedFont"/>
  <Override PartName="/word/fonts/font7.odttf" ContentType="application/vnd.openxmlformats-officedocument.obfuscatedFont"/>
  <Override PartName="/word/fonts/font13.odttf" ContentType="application/vnd.openxmlformats-officedocument.obfuscatedFont"/>
  <Override PartName="/word/fonts/font6.odttf" ContentType="application/vnd.openxmlformats-officedocument.obfuscatedFont"/>
  <Override PartName="/word/fonts/font12.odttf" ContentType="application/vnd.openxmlformats-officedocument.obfuscatedFont"/>
  <Override PartName="/word/fonts/font5.odttf" ContentType="application/vnd.openxmlformats-officedocument.obfuscatedFont"/>
  <Override PartName="/word/fonts/font11.odttf" ContentType="application/vnd.openxmlformats-officedocument.obfuscatedFont"/>
  <Override PartName="/word/fonts/font4.odttf" ContentType="application/vnd.openxmlformats-officedocument.obfuscatedFont"/>
  <Override PartName="/word/fonts/font10.odttf" ContentType="application/vnd.openxmlformats-officedocument.obfuscatedFont"/>
  <Override PartName="/word/fonts/font25.odttf" ContentType="application/vnd.openxmlformats-officedocument.obfuscatedFont"/>
  <Override PartName="/word/fonts/font24.odttf" ContentType="application/vnd.openxmlformats-officedocument.obfuscatedFont"/>
  <Override PartName="/word/fonts/font3.odttf" ContentType="application/vnd.openxmlformats-officedocument.obfuscatedFont"/>
  <Override PartName="/word/fonts/font23.odttf" ContentType="application/vnd.openxmlformats-officedocument.obfuscatedFont"/>
  <Override PartName="/word/fonts/font2.odttf" ContentType="application/vnd.openxmlformats-officedocument.obfuscatedFont"/>
  <Override PartName="/word/fonts/font22.odttf" ContentType="application/vnd.openxmlformats-officedocument.obfuscatedFont"/>
  <Override PartName="/word/fonts/font1.odttf" ContentType="application/vnd.openxmlformats-officedocument.obfuscatedFont"/>
  <Override PartName="/word/fonts/font21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18.odttf" ContentType="application/vnd.openxmlformats-officedocument.obfuscatedFont"/>
  <Override PartName="/word/fonts/font17.odttf" ContentType="application/vnd.openxmlformats-officedocument.obfuscatedFont"/>
  <Override PartName="/word/fonts/font16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pBdr/>
        <w:shd w:val="clear" w:fill="auto"/>
        <w:spacing w:lineRule="auto" w:line="273"/>
        <w:rPr>
          <w:rFonts w:ascii="Arial" w:hAnsi="Arial"/>
          <w:sz w:val="20"/>
          <w:szCs w:val="20"/>
        </w:rPr>
      </w:pPr>
      <w:r>
        <w:rPr>
          <w:rFonts w:eastAsia="Google Sans" w:cs="Google Sans" w:ascii="Arial" w:hAnsi="Arial"/>
          <w:b/>
          <w:bCs/>
          <w:color w:val="1F1F1F"/>
          <w:sz w:val="20"/>
          <w:szCs w:val="20"/>
        </w:rPr>
        <w:t>Evaluación y Plan de Migración de Plataforma de Correo Electrónico Institucional</w:t>
      </w:r>
      <w:r>
        <w:rPr>
          <w:rFonts w:eastAsia="Google Sans" w:cs="Google Sans" w:ascii="Arial" w:hAnsi="Arial"/>
          <w:color w:val="1F1F1F"/>
          <w:sz w:val="20"/>
          <w:szCs w:val="20"/>
        </w:rPr>
        <w:t xml:space="preserve"> </w:t>
      </w:r>
    </w:p>
    <w:p>
      <w:pPr>
        <w:pStyle w:val="normal1"/>
        <w:pBdr/>
        <w:shd w:val="clear" w:fill="auto"/>
        <w:spacing w:lineRule="auto" w:line="273"/>
        <w:rPr>
          <w:rFonts w:ascii="Arial" w:hAnsi="Arial"/>
          <w:sz w:val="20"/>
          <w:szCs w:val="20"/>
        </w:rPr>
      </w:pPr>
      <w:r>
        <w:rPr>
          <w:rFonts w:eastAsia="Google Sans" w:cs="Google Sans" w:ascii="Arial" w:hAnsi="Arial"/>
          <w:color w:val="1F1F1F"/>
          <w:sz w:val="20"/>
          <w:szCs w:val="20"/>
        </w:rPr>
        <w:t>(Postfix/Dovecot a Zimbra Collaboration Suite)</w:t>
      </w:r>
    </w:p>
    <w:p>
      <w:pPr>
        <w:pStyle w:val="normal1"/>
        <w:pBdr/>
        <w:shd w:val="clear" w:fill="auto"/>
        <w:spacing w:lineRule="auto" w:line="273"/>
        <w:rPr>
          <w:rFonts w:eastAsia="Google Sans" w:cs="Google Sans"/>
          <w:color w:val="1F1F1F"/>
        </w:rPr>
      </w:pPr>
      <w:r>
        <w:rPr>
          <w:rFonts w:ascii="Arial" w:hAnsi="Arial"/>
          <w:sz w:val="20"/>
          <w:szCs w:val="20"/>
        </w:rPr>
      </w:r>
    </w:p>
    <w:p>
      <w:pPr>
        <w:pStyle w:val="normal1"/>
        <w:pBdr/>
        <w:shd w:val="clear" w:fill="auto"/>
        <w:spacing w:lineRule="auto" w:line="273"/>
        <w:rPr>
          <w:rFonts w:eastAsia="Google Sans" w:cs="Google Sans"/>
          <w:color w:val="1F1F1F"/>
        </w:rPr>
      </w:pPr>
      <w:r>
        <w:rPr>
          <w:rFonts w:ascii="Arial" w:hAnsi="Arial"/>
          <w:sz w:val="20"/>
          <w:szCs w:val="20"/>
        </w:rPr>
      </w:r>
    </w:p>
    <w:p>
      <w:pPr>
        <w:pStyle w:val="Heading3"/>
        <w:pBdr/>
        <w:shd w:val="clear" w:fill="auto"/>
        <w:spacing w:lineRule="auto" w:line="273" w:before="0" w:after="0"/>
        <w:rPr>
          <w:rFonts w:ascii="Arial" w:hAnsi="Arial"/>
          <w:sz w:val="20"/>
          <w:szCs w:val="20"/>
        </w:rPr>
      </w:pPr>
      <w:r>
        <w:rPr>
          <w:rFonts w:eastAsia="Google Sans" w:cs="Google Sans" w:ascii="Arial" w:hAnsi="Arial"/>
          <w:color w:val="1F1F1F"/>
          <w:sz w:val="20"/>
          <w:szCs w:val="20"/>
        </w:rPr>
        <w:t>1. Antecedentes y Situación Actual</w:t>
      </w:r>
    </w:p>
    <w:p>
      <w:pPr>
        <w:pStyle w:val="normal1"/>
        <w:pBdr/>
        <w:shd w:val="clear" w:fill="auto"/>
        <w:spacing w:lineRule="auto" w:line="273"/>
        <w:rPr>
          <w:rFonts w:ascii="Arial" w:hAnsi="Arial"/>
          <w:sz w:val="20"/>
          <w:szCs w:val="20"/>
        </w:rPr>
      </w:pPr>
      <w:r>
        <w:rPr>
          <w:rFonts w:eastAsia="Google Sans" w:cs="Google Sans" w:ascii="Arial" w:hAnsi="Arial"/>
          <w:color w:val="1F1F1F"/>
          <w:sz w:val="20"/>
          <w:szCs w:val="20"/>
        </w:rPr>
        <w:t>Actualmente, el correo electrónico institucional opera mediante una pila de software libre sobre servidores Debian, compuesta por:</w:t>
      </w:r>
    </w:p>
    <w:p>
      <w:pPr>
        <w:pStyle w:val="normal1"/>
        <w:numPr>
          <w:ilvl w:val="0"/>
          <w:numId w:val="1"/>
        </w:numPr>
        <w:pBdr/>
        <w:shd w:val="clear" w:fill="auto"/>
        <w:spacing w:lineRule="auto" w:line="273"/>
        <w:ind w:hanging="360" w:left="590"/>
        <w:rPr>
          <w:rFonts w:ascii="Arial" w:hAnsi="Arial"/>
          <w:sz w:val="20"/>
          <w:szCs w:val="20"/>
        </w:rPr>
      </w:pPr>
      <w:r>
        <w:rPr>
          <w:rFonts w:eastAsia="Google Sans" w:cs="Google Sans" w:ascii="Arial" w:hAnsi="Arial"/>
          <w:b/>
          <w:bCs/>
          <w:color w:val="1F1F1F"/>
          <w:sz w:val="20"/>
          <w:szCs w:val="20"/>
        </w:rPr>
        <w:t>MTA / Enrutamiento:</w:t>
      </w:r>
      <w:r>
        <w:rPr>
          <w:rFonts w:eastAsia="Google Sans" w:cs="Google Sans" w:ascii="Arial" w:hAnsi="Arial"/>
          <w:color w:val="1F1F1F"/>
          <w:sz w:val="20"/>
          <w:szCs w:val="20"/>
        </w:rPr>
        <w:t xml:space="preserve"> Postfix</w:t>
      </w:r>
    </w:p>
    <w:p>
      <w:pPr>
        <w:pStyle w:val="normal1"/>
        <w:numPr>
          <w:ilvl w:val="0"/>
          <w:numId w:val="1"/>
        </w:numPr>
        <w:pBdr/>
        <w:shd w:val="clear" w:fill="auto"/>
        <w:spacing w:lineRule="auto" w:line="273"/>
        <w:ind w:hanging="360" w:left="590"/>
        <w:rPr>
          <w:rFonts w:ascii="Arial" w:hAnsi="Arial"/>
          <w:sz w:val="20"/>
          <w:szCs w:val="20"/>
        </w:rPr>
      </w:pPr>
      <w:r>
        <w:rPr>
          <w:rFonts w:eastAsia="Google Sans" w:cs="Google Sans" w:ascii="Arial" w:hAnsi="Arial"/>
          <w:b/>
          <w:bCs/>
          <w:color w:val="1F1F1F"/>
          <w:sz w:val="20"/>
          <w:szCs w:val="20"/>
        </w:rPr>
        <w:t>Filtros Antispam y Antivirus:</w:t>
      </w:r>
      <w:r>
        <w:rPr>
          <w:rFonts w:eastAsia="Google Sans" w:cs="Google Sans" w:ascii="Arial" w:hAnsi="Arial"/>
          <w:color w:val="1F1F1F"/>
          <w:sz w:val="20"/>
          <w:szCs w:val="20"/>
        </w:rPr>
        <w:t xml:space="preserve"> Amavis + SpamAssassin</w:t>
      </w:r>
    </w:p>
    <w:p>
      <w:pPr>
        <w:pStyle w:val="normal1"/>
        <w:numPr>
          <w:ilvl w:val="0"/>
          <w:numId w:val="1"/>
        </w:numPr>
        <w:pBdr/>
        <w:shd w:val="clear" w:fill="auto"/>
        <w:spacing w:lineRule="auto" w:line="273"/>
        <w:ind w:hanging="360" w:left="590"/>
        <w:rPr>
          <w:rFonts w:ascii="Arial" w:hAnsi="Arial"/>
          <w:sz w:val="20"/>
          <w:szCs w:val="20"/>
        </w:rPr>
      </w:pPr>
      <w:r>
        <w:rPr>
          <w:rFonts w:eastAsia="Google Sans" w:cs="Google Sans" w:ascii="Arial" w:hAnsi="Arial"/>
          <w:b/>
          <w:bCs/>
          <w:color w:val="1F1F1F"/>
          <w:sz w:val="20"/>
          <w:szCs w:val="20"/>
        </w:rPr>
        <w:t>IMAP/POP3:</w:t>
      </w:r>
      <w:r>
        <w:rPr>
          <w:rFonts w:eastAsia="Google Sans" w:cs="Google Sans" w:ascii="Arial" w:hAnsi="Arial"/>
          <w:color w:val="1F1F1F"/>
          <w:sz w:val="20"/>
          <w:szCs w:val="20"/>
        </w:rPr>
        <w:t xml:space="preserve"> Dovecot</w:t>
      </w:r>
    </w:p>
    <w:p>
      <w:pPr>
        <w:pStyle w:val="normal1"/>
        <w:numPr>
          <w:ilvl w:val="0"/>
          <w:numId w:val="1"/>
        </w:numPr>
        <w:pBdr/>
        <w:shd w:val="clear" w:fill="auto"/>
        <w:spacing w:lineRule="auto" w:line="273"/>
        <w:ind w:hanging="360" w:left="590"/>
        <w:rPr>
          <w:rFonts w:ascii="Arial" w:hAnsi="Arial"/>
          <w:sz w:val="20"/>
          <w:szCs w:val="20"/>
        </w:rPr>
      </w:pPr>
      <w:r>
        <w:rPr>
          <w:rFonts w:eastAsia="Google Sans" w:cs="Google Sans" w:ascii="Arial" w:hAnsi="Arial"/>
          <w:b/>
          <w:bCs/>
          <w:color w:val="1F1F1F"/>
          <w:sz w:val="20"/>
          <w:szCs w:val="20"/>
        </w:rPr>
        <w:t>Webmail:</w:t>
      </w:r>
      <w:r>
        <w:rPr>
          <w:rFonts w:eastAsia="Google Sans" w:cs="Google Sans" w:ascii="Arial" w:hAnsi="Arial"/>
          <w:color w:val="1F1F1F"/>
          <w:sz w:val="20"/>
          <w:szCs w:val="20"/>
        </w:rPr>
        <w:t xml:space="preserve"> Roundcube</w:t>
      </w:r>
    </w:p>
    <w:p>
      <w:pPr>
        <w:pStyle w:val="normal1"/>
        <w:pBdr/>
        <w:shd w:val="clear" w:fill="auto"/>
        <w:spacing w:lineRule="auto" w:line="273"/>
        <w:rPr>
          <w:rFonts w:ascii="Arial" w:hAnsi="Arial"/>
          <w:sz w:val="20"/>
          <w:szCs w:val="20"/>
        </w:rPr>
      </w:pPr>
      <w:r>
        <w:rPr>
          <w:rFonts w:eastAsia="Google Sans" w:cs="Google Sans" w:ascii="Arial" w:hAnsi="Arial"/>
          <w:color w:val="1F1F1F"/>
          <w:sz w:val="20"/>
          <w:szCs w:val="20"/>
        </w:rPr>
        <w:t xml:space="preserve">Si bien </w:t>
      </w:r>
      <w:r>
        <w:rPr>
          <w:rFonts w:eastAsia="Google Sans" w:cs="Google Sans" w:ascii="Arial" w:hAnsi="Arial"/>
          <w:color w:val="1F1F1F"/>
          <w:sz w:val="20"/>
          <w:szCs w:val="20"/>
        </w:rPr>
        <w:t>considero que la solución actual es altamente satisfactoria (pues se reconfiguraron servicios y filtros) dando robustez a la solución</w:t>
      </w:r>
      <w:r>
        <w:rPr>
          <w:rFonts w:eastAsia="Google Sans" w:cs="Google Sans" w:ascii="Arial" w:hAnsi="Arial"/>
          <w:color w:val="1F1F1F"/>
          <w:sz w:val="20"/>
          <w:szCs w:val="20"/>
        </w:rPr>
        <w:t xml:space="preserve">, la gestión fragmentada de los componentes, el aumento en la sofisticación del correo no deseado y la necesidad de herramientas colaborativas modernas (calendarios compartidos, libreta de direcciones unificada y sincronización móvil) motivan el análisis de migración a </w:t>
      </w:r>
      <w:r>
        <w:rPr>
          <w:rFonts w:eastAsia="Google Sans" w:cs="Google Sans" w:ascii="Arial" w:hAnsi="Arial"/>
          <w:b/>
          <w:bCs/>
          <w:color w:val="1F1F1F"/>
          <w:sz w:val="20"/>
          <w:szCs w:val="20"/>
        </w:rPr>
        <w:t>Zimbra Collaboration Suite (ZCS)</w:t>
      </w:r>
      <w:r>
        <w:rPr>
          <w:rFonts w:eastAsia="Google Sans" w:cs="Google Sans" w:ascii="Arial" w:hAnsi="Arial"/>
          <w:color w:val="1F1F1F"/>
          <w:sz w:val="20"/>
          <w:szCs w:val="20"/>
        </w:rPr>
        <w:t>.</w:t>
      </w:r>
    </w:p>
    <w:p>
      <w:pPr>
        <w:pStyle w:val="normal1"/>
        <w:pBdr/>
        <w:shd w:val="clear" w:fill="auto"/>
        <w:spacing w:lineRule="auto" w:line="273"/>
        <w:rPr>
          <w:rFonts w:eastAsia="Google Sans" w:cs="Google Sans"/>
          <w:color w:val="1F1F1F"/>
        </w:rPr>
      </w:pPr>
      <w:r>
        <w:rPr>
          <w:rFonts w:ascii="Arial" w:hAnsi="Arial"/>
          <w:sz w:val="20"/>
          <w:szCs w:val="20"/>
        </w:rPr>
      </w:r>
    </w:p>
    <w:p>
      <w:pPr>
        <w:pStyle w:val="Heading3"/>
        <w:pBdr/>
        <w:shd w:val="clear" w:fill="auto"/>
        <w:spacing w:lineRule="auto" w:line="273" w:before="0" w:after="0"/>
        <w:rPr>
          <w:rFonts w:ascii="Arial" w:hAnsi="Arial"/>
          <w:sz w:val="20"/>
          <w:szCs w:val="20"/>
        </w:rPr>
      </w:pPr>
      <w:r>
        <w:rPr>
          <w:rFonts w:eastAsia="Google Sans" w:cs="Google Sans" w:ascii="Arial" w:hAnsi="Arial"/>
          <w:color w:val="1F1F1F"/>
          <w:sz w:val="20"/>
          <w:szCs w:val="20"/>
        </w:rPr>
        <w:t>2. Comparativa Técnica y Operativa</w:t>
      </w:r>
    </w:p>
    <w:p>
      <w:pPr>
        <w:pStyle w:val="normal1"/>
        <w:pBdr/>
        <w:shd w:val="clear" w:fill="auto"/>
        <w:spacing w:lineRule="auto" w:line="273"/>
        <w:rPr>
          <w:rFonts w:ascii="Arial" w:hAnsi="Arial" w:eastAsia="Google Sans" w:cs="Google Sans"/>
          <w:color w:val="1F1F1F"/>
          <w:sz w:val="20"/>
          <w:szCs w:val="20"/>
        </w:rPr>
      </w:pPr>
      <w:r>
        <w:rPr>
          <w:rFonts w:eastAsia="Google Sans" w:cs="Google Sans" w:ascii="Arial" w:hAnsi="Arial"/>
          <w:color w:val="1F1F1F"/>
          <w:sz w:val="20"/>
          <w:szCs w:val="20"/>
        </w:rPr>
      </w:r>
    </w:p>
    <w:tbl>
      <w:tblPr>
        <w:tblStyle w:val="Table1"/>
        <w:tblW w:w="9360" w:type="dxa"/>
        <w:jc w:val="left"/>
        <w:tblInd w:w="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600"/>
      </w:tblPr>
      <w:tblGrid>
        <w:gridCol w:w="3120"/>
        <w:gridCol w:w="3120"/>
        <w:gridCol w:w="3120"/>
      </w:tblGrid>
      <w:tr>
        <w:trPr/>
        <w:tc>
          <w:tcPr>
            <w:tcW w:w="31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EFEFEF" w:val="clear"/>
          </w:tcPr>
          <w:p>
            <w:pPr>
              <w:pStyle w:val="normal1"/>
              <w:pBdr/>
              <w:shd w:val="clear" w:fill="auto"/>
              <w:spacing w:lineRule="auto" w:line="273" w:before="120" w:after="120"/>
              <w:rPr>
                <w:rFonts w:ascii="Arial" w:hAnsi="Arial"/>
                <w:sz w:val="20"/>
                <w:szCs w:val="20"/>
              </w:rPr>
            </w:pPr>
            <w:r>
              <w:rPr>
                <w:rFonts w:eastAsia="Google Sans" w:cs="Google Sans" w:ascii="Arial" w:hAnsi="Arial"/>
                <w:b/>
                <w:bCs/>
                <w:color w:val="1F1F1F"/>
                <w:sz w:val="20"/>
                <w:szCs w:val="20"/>
                <w:shd w:fill="auto" w:val="clear"/>
              </w:rPr>
              <w:t>Criterio</w:t>
            </w:r>
          </w:p>
        </w:tc>
        <w:tc>
          <w:tcPr>
            <w:tcW w:w="31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EFEFEF" w:val="clear"/>
          </w:tcPr>
          <w:p>
            <w:pPr>
              <w:pStyle w:val="normal1"/>
              <w:pBdr/>
              <w:shd w:val="clear" w:fill="auto"/>
              <w:spacing w:lineRule="auto" w:line="273" w:before="120" w:after="120"/>
              <w:rPr>
                <w:rFonts w:ascii="Arial" w:hAnsi="Arial"/>
                <w:sz w:val="20"/>
                <w:szCs w:val="20"/>
              </w:rPr>
            </w:pPr>
            <w:r>
              <w:rPr>
                <w:rFonts w:eastAsia="Google Sans" w:cs="Google Sans" w:ascii="Arial" w:hAnsi="Arial"/>
                <w:b/>
                <w:bCs/>
                <w:color w:val="1F1F1F"/>
                <w:sz w:val="20"/>
                <w:szCs w:val="20"/>
                <w:shd w:fill="auto" w:val="clear"/>
              </w:rPr>
              <w:t>Arquitectura Actual (Postfix/Dovecot/Roundcube) PDF</w:t>
            </w:r>
          </w:p>
        </w:tc>
        <w:tc>
          <w:tcPr>
            <w:tcW w:w="31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EFEFEF" w:val="clear"/>
          </w:tcPr>
          <w:p>
            <w:pPr>
              <w:pStyle w:val="normal1"/>
              <w:pBdr/>
              <w:shd w:val="clear" w:fill="auto"/>
              <w:spacing w:lineRule="auto" w:line="273" w:before="120" w:after="120"/>
              <w:rPr>
                <w:rFonts w:ascii="Arial" w:hAnsi="Arial"/>
                <w:sz w:val="20"/>
                <w:szCs w:val="20"/>
              </w:rPr>
            </w:pPr>
            <w:r>
              <w:rPr>
                <w:rFonts w:eastAsia="Google Sans" w:cs="Google Sans" w:ascii="Arial" w:hAnsi="Arial"/>
                <w:b/>
                <w:bCs/>
                <w:color w:val="1F1F1F"/>
                <w:sz w:val="20"/>
                <w:szCs w:val="20"/>
                <w:shd w:fill="auto" w:val="clear"/>
              </w:rPr>
              <w:t>Plataforma Integrada (Zimbra ZCS) PDF</w:t>
            </w:r>
          </w:p>
        </w:tc>
      </w:tr>
      <w:tr>
        <w:trPr/>
        <w:tc>
          <w:tcPr>
            <w:tcW w:w="31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pBdr/>
              <w:shd w:val="clear" w:fill="auto"/>
              <w:spacing w:lineRule="auto" w:line="273" w:before="120" w:after="120"/>
              <w:rPr>
                <w:rFonts w:ascii="Arial" w:hAnsi="Arial"/>
                <w:sz w:val="20"/>
                <w:szCs w:val="20"/>
              </w:rPr>
            </w:pPr>
            <w:r>
              <w:rPr>
                <w:rFonts w:eastAsia="Google Sans" w:cs="Google Sans" w:ascii="Arial" w:hAnsi="Arial"/>
                <w:b/>
                <w:bCs/>
                <w:color w:val="1F1F1F"/>
                <w:sz w:val="20"/>
                <w:szCs w:val="20"/>
              </w:rPr>
              <w:t>Administración</w:t>
            </w:r>
          </w:p>
        </w:tc>
        <w:tc>
          <w:tcPr>
            <w:tcW w:w="31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pBdr/>
              <w:shd w:val="clear" w:fill="auto"/>
              <w:spacing w:lineRule="auto" w:line="273" w:before="120" w:after="120"/>
              <w:rPr>
                <w:rFonts w:ascii="Arial" w:hAnsi="Arial"/>
                <w:sz w:val="20"/>
                <w:szCs w:val="20"/>
              </w:rPr>
            </w:pPr>
            <w:r>
              <w:rPr>
                <w:rFonts w:eastAsia="Google Sans" w:cs="Google Sans" w:ascii="Arial" w:hAnsi="Arial"/>
                <w:color w:val="1F1F1F"/>
                <w:sz w:val="20"/>
                <w:szCs w:val="20"/>
              </w:rPr>
              <w:t>Descentralizada. Requiere mantenimiento individual de archivos de configuración.</w:t>
            </w:r>
          </w:p>
        </w:tc>
        <w:tc>
          <w:tcPr>
            <w:tcW w:w="31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pBdr/>
              <w:shd w:val="clear" w:fill="auto"/>
              <w:spacing w:lineRule="auto" w:line="273" w:before="120" w:after="120"/>
              <w:rPr>
                <w:rFonts w:ascii="Arial" w:hAnsi="Arial"/>
                <w:sz w:val="20"/>
                <w:szCs w:val="20"/>
              </w:rPr>
            </w:pPr>
            <w:r>
              <w:rPr>
                <w:rFonts w:eastAsia="Google Sans" w:cs="Google Sans" w:ascii="Arial" w:hAnsi="Arial"/>
                <w:color w:val="1F1F1F"/>
                <w:sz w:val="20"/>
                <w:szCs w:val="20"/>
              </w:rPr>
              <w:t>Centralizada mediante panel web unificado (</w:t>
            </w:r>
            <w:r>
              <w:rPr>
                <w:rFonts w:eastAsia="Google Sans" w:cs="Google Sans" w:ascii="Arial" w:hAnsi="Arial"/>
                <w:i/>
                <w:iCs/>
                <w:color w:val="1F1F1F"/>
                <w:sz w:val="20"/>
                <w:szCs w:val="20"/>
              </w:rPr>
              <w:t>Zimbra Admin Console</w:t>
            </w:r>
            <w:r>
              <w:rPr>
                <w:rFonts w:eastAsia="Google Sans" w:cs="Google Sans" w:ascii="Arial" w:hAnsi="Arial"/>
                <w:color w:val="1F1F1F"/>
                <w:sz w:val="20"/>
                <w:szCs w:val="20"/>
              </w:rPr>
              <w:t>).</w:t>
            </w:r>
          </w:p>
        </w:tc>
      </w:tr>
      <w:tr>
        <w:trPr/>
        <w:tc>
          <w:tcPr>
            <w:tcW w:w="31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pBdr/>
              <w:shd w:val="clear" w:fill="auto"/>
              <w:spacing w:lineRule="auto" w:line="273" w:before="120" w:after="120"/>
              <w:rPr>
                <w:rFonts w:ascii="Arial" w:hAnsi="Arial"/>
                <w:sz w:val="20"/>
                <w:szCs w:val="20"/>
              </w:rPr>
            </w:pPr>
            <w:r>
              <w:rPr>
                <w:rFonts w:eastAsia="Google Sans" w:cs="Google Sans" w:ascii="Arial" w:hAnsi="Arial"/>
                <w:b/>
                <w:bCs/>
                <w:color w:val="1F1F1F"/>
                <w:sz w:val="20"/>
                <w:szCs w:val="20"/>
              </w:rPr>
              <w:t>Seguridad y Filtros</w:t>
            </w:r>
          </w:p>
        </w:tc>
        <w:tc>
          <w:tcPr>
            <w:tcW w:w="31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pBdr/>
              <w:shd w:val="clear" w:fill="auto"/>
              <w:spacing w:lineRule="auto" w:line="273"/>
              <w:rPr>
                <w:rFonts w:ascii="Arial" w:hAnsi="Arial"/>
                <w:sz w:val="20"/>
                <w:szCs w:val="20"/>
              </w:rPr>
            </w:pPr>
            <w:r>
              <w:rPr>
                <w:rFonts w:eastAsia="Google Sans" w:cs="Google Sans" w:ascii="Arial" w:hAnsi="Arial"/>
                <w:color w:val="1F1F1F"/>
                <w:sz w:val="20"/>
                <w:szCs w:val="20"/>
              </w:rPr>
              <w:t>Amavis + SpamAssassin configurados de forma manual.</w:t>
            </w:r>
          </w:p>
        </w:tc>
        <w:tc>
          <w:tcPr>
            <w:tcW w:w="31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pBdr/>
              <w:shd w:val="clear" w:fill="auto"/>
              <w:spacing w:lineRule="auto" w:line="273" w:before="120" w:after="120"/>
              <w:rPr>
                <w:rFonts w:ascii="Arial" w:hAnsi="Arial"/>
                <w:sz w:val="20"/>
                <w:szCs w:val="20"/>
              </w:rPr>
            </w:pPr>
            <w:r>
              <w:rPr>
                <w:rFonts w:eastAsia="Google Sans" w:cs="Google Sans" w:ascii="Arial" w:hAnsi="Arial"/>
                <w:color w:val="1F1F1F"/>
                <w:sz w:val="20"/>
                <w:szCs w:val="20"/>
              </w:rPr>
              <w:t>Motor Antispam (SpamAssassin) y Antivirus (ClamAV) integrados y actualizados automáticamente.</w:t>
            </w:r>
          </w:p>
        </w:tc>
      </w:tr>
      <w:tr>
        <w:trPr/>
        <w:tc>
          <w:tcPr>
            <w:tcW w:w="31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pBdr/>
              <w:shd w:val="clear" w:fill="auto"/>
              <w:spacing w:lineRule="auto" w:line="273" w:before="120" w:after="120"/>
              <w:rPr>
                <w:rFonts w:ascii="Arial" w:hAnsi="Arial"/>
                <w:sz w:val="20"/>
                <w:szCs w:val="20"/>
              </w:rPr>
            </w:pPr>
            <w:r>
              <w:rPr>
                <w:rFonts w:eastAsia="Google Sans" w:cs="Google Sans" w:ascii="Arial" w:hAnsi="Arial"/>
                <w:b/>
                <w:bCs/>
                <w:color w:val="1F1F1F"/>
                <w:sz w:val="20"/>
                <w:szCs w:val="20"/>
              </w:rPr>
              <w:t>Funcionalidades</w:t>
            </w:r>
          </w:p>
        </w:tc>
        <w:tc>
          <w:tcPr>
            <w:tcW w:w="31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pBdr/>
              <w:shd w:val="clear" w:fill="auto"/>
              <w:spacing w:lineRule="auto" w:line="273"/>
              <w:rPr>
                <w:rFonts w:ascii="Arial" w:hAnsi="Arial"/>
                <w:sz w:val="20"/>
                <w:szCs w:val="20"/>
              </w:rPr>
            </w:pPr>
            <w:r>
              <w:rPr>
                <w:rFonts w:eastAsia="Google Sans" w:cs="Google Sans" w:ascii="Arial" w:hAnsi="Arial"/>
                <w:color w:val="1F1F1F"/>
                <w:sz w:val="20"/>
                <w:szCs w:val="20"/>
              </w:rPr>
              <w:t>Webmail básico de lectura/escritura (Roundcube).</w:t>
            </w:r>
          </w:p>
        </w:tc>
        <w:tc>
          <w:tcPr>
            <w:tcW w:w="31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pBdr/>
              <w:shd w:val="clear" w:fill="auto"/>
              <w:spacing w:lineRule="auto" w:line="273" w:before="120" w:after="120"/>
              <w:rPr>
                <w:rFonts w:ascii="Arial" w:hAnsi="Arial"/>
                <w:sz w:val="20"/>
                <w:szCs w:val="20"/>
              </w:rPr>
            </w:pPr>
            <w:r>
              <w:rPr>
                <w:rFonts w:eastAsia="Google Sans" w:cs="Google Sans" w:ascii="Arial" w:hAnsi="Arial"/>
                <w:color w:val="1F1F1F"/>
                <w:sz w:val="20"/>
                <w:szCs w:val="20"/>
              </w:rPr>
              <w:t>Entorno colaborativo: Correo, Calendario, Contactos, Tareas y Maletín (</w:t>
            </w:r>
            <w:r>
              <w:rPr>
                <w:rFonts w:eastAsia="Google Sans" w:cs="Google Sans" w:ascii="Arial" w:hAnsi="Arial"/>
                <w:i/>
                <w:iCs/>
                <w:color w:val="1F1F1F"/>
                <w:sz w:val="20"/>
                <w:szCs w:val="20"/>
              </w:rPr>
              <w:t>Drive</w:t>
            </w:r>
            <w:r>
              <w:rPr>
                <w:rFonts w:eastAsia="Google Sans" w:cs="Google Sans" w:ascii="Arial" w:hAnsi="Arial"/>
                <w:color w:val="1F1F1F"/>
                <w:sz w:val="20"/>
                <w:szCs w:val="20"/>
              </w:rPr>
              <w:t>).</w:t>
            </w:r>
          </w:p>
        </w:tc>
      </w:tr>
      <w:tr>
        <w:trPr/>
        <w:tc>
          <w:tcPr>
            <w:tcW w:w="31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pBdr/>
              <w:shd w:val="clear" w:fill="auto"/>
              <w:spacing w:lineRule="auto" w:line="273" w:before="120" w:after="120"/>
              <w:rPr>
                <w:rFonts w:ascii="Arial" w:hAnsi="Arial"/>
                <w:sz w:val="20"/>
                <w:szCs w:val="20"/>
              </w:rPr>
            </w:pPr>
            <w:r>
              <w:rPr>
                <w:rFonts w:eastAsia="Google Sans" w:cs="Google Sans" w:ascii="Arial" w:hAnsi="Arial"/>
                <w:b/>
                <w:bCs/>
                <w:color w:val="1F1F1F"/>
                <w:sz w:val="20"/>
                <w:szCs w:val="20"/>
              </w:rPr>
              <w:t>Sincronización Móvil</w:t>
            </w:r>
          </w:p>
        </w:tc>
        <w:tc>
          <w:tcPr>
            <w:tcW w:w="31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pBdr/>
              <w:shd w:val="clear" w:fill="auto"/>
              <w:spacing w:lineRule="auto" w:line="273" w:before="120" w:after="120"/>
              <w:rPr>
                <w:rFonts w:ascii="Arial" w:hAnsi="Arial"/>
                <w:sz w:val="20"/>
                <w:szCs w:val="20"/>
              </w:rPr>
            </w:pPr>
            <w:r>
              <w:rPr>
                <w:rFonts w:eastAsia="Google Sans" w:cs="Google Sans" w:ascii="Arial" w:hAnsi="Arial"/>
                <w:color w:val="1F1F1F"/>
                <w:sz w:val="20"/>
                <w:szCs w:val="20"/>
              </w:rPr>
              <w:t>IMAP / SMTP convencional.</w:t>
            </w:r>
          </w:p>
        </w:tc>
        <w:tc>
          <w:tcPr>
            <w:tcW w:w="31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pBdr/>
              <w:shd w:val="clear" w:fill="auto"/>
              <w:spacing w:lineRule="auto" w:line="273" w:before="120" w:after="120"/>
              <w:rPr>
                <w:rFonts w:ascii="Arial" w:hAnsi="Arial"/>
                <w:sz w:val="20"/>
                <w:szCs w:val="20"/>
              </w:rPr>
            </w:pPr>
            <w:r>
              <w:rPr>
                <w:rFonts w:eastAsia="Google Sans" w:cs="Google Sans" w:ascii="Arial" w:hAnsi="Arial"/>
                <w:color w:val="1F1F1F"/>
                <w:sz w:val="20"/>
                <w:szCs w:val="20"/>
              </w:rPr>
              <w:t>Soporte nativo de CalDAV / CardDAV (y ActiveSync en versión Network Edition).</w:t>
            </w:r>
          </w:p>
        </w:tc>
      </w:tr>
      <w:tr>
        <w:trPr/>
        <w:tc>
          <w:tcPr>
            <w:tcW w:w="31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pBdr/>
              <w:shd w:val="clear" w:fill="auto"/>
              <w:spacing w:lineRule="auto" w:line="273" w:before="120" w:after="120"/>
              <w:rPr>
                <w:rFonts w:ascii="Arial" w:hAnsi="Arial"/>
                <w:sz w:val="20"/>
                <w:szCs w:val="20"/>
              </w:rPr>
            </w:pPr>
            <w:r>
              <w:rPr>
                <w:rFonts w:eastAsia="Google Sans" w:cs="Google Sans" w:ascii="Arial" w:hAnsi="Arial"/>
                <w:b/>
                <w:bCs/>
                <w:color w:val="1F1F1F"/>
                <w:sz w:val="20"/>
                <w:szCs w:val="20"/>
              </w:rPr>
              <w:t>Autenticación y 2FA</w:t>
            </w:r>
          </w:p>
        </w:tc>
        <w:tc>
          <w:tcPr>
            <w:tcW w:w="31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pBdr/>
              <w:shd w:val="clear" w:fill="auto"/>
              <w:spacing w:lineRule="auto" w:line="273"/>
              <w:rPr>
                <w:rFonts w:ascii="Arial" w:hAnsi="Arial"/>
                <w:sz w:val="20"/>
                <w:szCs w:val="20"/>
              </w:rPr>
            </w:pPr>
            <w:r>
              <w:rPr>
                <w:rFonts w:eastAsia="Google Sans" w:cs="Google Sans" w:ascii="Arial" w:hAnsi="Arial"/>
                <w:color w:val="1F1F1F"/>
                <w:sz w:val="20"/>
                <w:szCs w:val="20"/>
              </w:rPr>
              <w:t>Configuración compleja por módulos independientes.</w:t>
            </w:r>
          </w:p>
        </w:tc>
        <w:tc>
          <w:tcPr>
            <w:tcW w:w="31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fill="auto" w:val="clear"/>
          </w:tcPr>
          <w:p>
            <w:pPr>
              <w:pStyle w:val="normal1"/>
              <w:pBdr/>
              <w:shd w:val="clear" w:fill="auto"/>
              <w:spacing w:lineRule="auto" w:line="273"/>
              <w:rPr>
                <w:rFonts w:ascii="Arial" w:hAnsi="Arial"/>
                <w:sz w:val="20"/>
                <w:szCs w:val="20"/>
              </w:rPr>
            </w:pPr>
            <w:r>
              <w:rPr>
                <w:rFonts w:eastAsia="Google Sans" w:cs="Google Sans" w:ascii="Arial" w:hAnsi="Arial"/>
                <w:color w:val="1F1F1F"/>
                <w:sz w:val="20"/>
                <w:szCs w:val="20"/>
              </w:rPr>
              <w:t>Integración directa con LDAP institucional y soporte nativo para 2FA / OTP.</w:t>
            </w:r>
          </w:p>
        </w:tc>
      </w:tr>
    </w:tbl>
    <w:p>
      <w:pPr>
        <w:pStyle w:val="Heading3"/>
        <w:pBdr/>
        <w:shd w:val="clear" w:fill="auto"/>
        <w:spacing w:lineRule="auto" w:line="273" w:before="0" w:after="0"/>
        <w:rPr>
          <w:rFonts w:eastAsia="Google Sans" w:cs="Google Sans"/>
          <w:color w:val="1F1F1F"/>
        </w:rPr>
      </w:pPr>
      <w:r>
        <w:rPr>
          <w:rFonts w:ascii="Arial" w:hAnsi="Arial"/>
          <w:sz w:val="20"/>
          <w:szCs w:val="20"/>
        </w:rPr>
      </w:r>
    </w:p>
    <w:p>
      <w:pPr>
        <w:pStyle w:val="Heading3"/>
        <w:pBdr/>
        <w:shd w:val="clear" w:fill="auto"/>
        <w:spacing w:lineRule="auto" w:line="273" w:before="0" w:after="0"/>
        <w:rPr>
          <w:rFonts w:ascii="Arial" w:hAnsi="Arial"/>
          <w:sz w:val="20"/>
          <w:szCs w:val="20"/>
        </w:rPr>
      </w:pPr>
      <w:r>
        <w:rPr>
          <w:rFonts w:eastAsia="Google Sans" w:cs="Google Sans" w:ascii="Arial" w:hAnsi="Arial"/>
          <w:color w:val="1F1F1F"/>
          <w:sz w:val="20"/>
          <w:szCs w:val="20"/>
        </w:rPr>
        <w:t>3. Requerimientos de Infraestructura para Zimbra</w:t>
      </w:r>
    </w:p>
    <w:p>
      <w:pPr>
        <w:pStyle w:val="normal1"/>
        <w:pBdr/>
        <w:shd w:val="clear" w:fill="auto"/>
        <w:spacing w:lineRule="auto" w:line="273" w:before="0" w:after="0"/>
        <w:rPr>
          <w:rFonts w:eastAsia="Google Sans" w:cs="Google Sans"/>
          <w:color w:val="1F1F1F"/>
        </w:rPr>
      </w:pPr>
      <w:r>
        <w:rPr>
          <w:rFonts w:ascii="Arial" w:hAnsi="Arial"/>
          <w:sz w:val="20"/>
          <w:szCs w:val="20"/>
        </w:rPr>
      </w:r>
    </w:p>
    <w:p>
      <w:pPr>
        <w:pStyle w:val="normal1"/>
        <w:pBdr/>
        <w:shd w:val="clear" w:fill="auto"/>
        <w:spacing w:lineRule="auto" w:line="273"/>
        <w:rPr>
          <w:rFonts w:ascii="Arial" w:hAnsi="Arial"/>
          <w:sz w:val="20"/>
          <w:szCs w:val="20"/>
        </w:rPr>
      </w:pPr>
      <w:r>
        <w:rPr>
          <w:rFonts w:eastAsia="Google Sans" w:cs="Google Sans" w:ascii="Arial" w:hAnsi="Arial"/>
          <w:color w:val="1F1F1F"/>
          <w:sz w:val="20"/>
          <w:szCs w:val="20"/>
        </w:rPr>
        <w:t>Para soportar la migración sin comprometer el rendimiento, la nueva máquina virtual o servidor dedicado debe cumplir con los siguientes requerimientos mínimos:</w:t>
      </w:r>
    </w:p>
    <w:p>
      <w:pPr>
        <w:pStyle w:val="normal1"/>
        <w:numPr>
          <w:ilvl w:val="0"/>
          <w:numId w:val="2"/>
        </w:numPr>
        <w:pBdr/>
        <w:shd w:val="clear" w:fill="auto"/>
        <w:spacing w:lineRule="auto" w:line="273"/>
        <w:ind w:hanging="360" w:left="590"/>
        <w:rPr>
          <w:rFonts w:ascii="Arial" w:hAnsi="Arial"/>
          <w:sz w:val="20"/>
          <w:szCs w:val="20"/>
        </w:rPr>
      </w:pPr>
      <w:r>
        <w:rPr>
          <w:rFonts w:eastAsia="Google Sans" w:cs="Google Sans" w:ascii="Arial" w:hAnsi="Arial"/>
          <w:b/>
          <w:bCs/>
          <w:color w:val="1F1F1F"/>
          <w:sz w:val="20"/>
          <w:szCs w:val="20"/>
        </w:rPr>
        <w:t>Sistema Operativo:</w:t>
      </w:r>
      <w:r>
        <w:rPr>
          <w:rFonts w:eastAsia="Google Sans" w:cs="Google Sans" w:ascii="Arial" w:hAnsi="Arial"/>
          <w:color w:val="1F1F1F"/>
          <w:sz w:val="20"/>
          <w:szCs w:val="20"/>
        </w:rPr>
        <w:t xml:space="preserve"> Ubuntu 22.04 LTS o Debian 12 (64-bit).</w:t>
      </w:r>
    </w:p>
    <w:p>
      <w:pPr>
        <w:pStyle w:val="normal1"/>
        <w:numPr>
          <w:ilvl w:val="0"/>
          <w:numId w:val="2"/>
        </w:numPr>
        <w:pBdr/>
        <w:shd w:val="clear" w:fill="auto"/>
        <w:spacing w:lineRule="auto" w:line="273"/>
        <w:ind w:hanging="360" w:left="590"/>
        <w:rPr>
          <w:rFonts w:ascii="Arial" w:hAnsi="Arial"/>
          <w:sz w:val="20"/>
          <w:szCs w:val="20"/>
        </w:rPr>
      </w:pPr>
      <w:r>
        <w:rPr>
          <w:rFonts w:eastAsia="Google Sans" w:cs="Google Sans" w:ascii="Arial" w:hAnsi="Arial"/>
          <w:b/>
          <w:bCs/>
          <w:color w:val="1F1F1F"/>
          <w:sz w:val="20"/>
          <w:szCs w:val="20"/>
        </w:rPr>
        <w:t>Procesador (CPU):</w:t>
      </w:r>
      <w:r>
        <w:rPr>
          <w:rFonts w:eastAsia="Google Sans" w:cs="Google Sans" w:ascii="Arial" w:hAnsi="Arial"/>
          <w:color w:val="1F1F1F"/>
          <w:sz w:val="20"/>
          <w:szCs w:val="20"/>
        </w:rPr>
        <w:t xml:space="preserve"> Mínimo 4 vCPUs (Recomendado: 8 vCPUs para manejo eficiente de filtros en tiempo real).</w:t>
      </w:r>
    </w:p>
    <w:p>
      <w:pPr>
        <w:pStyle w:val="normal1"/>
        <w:numPr>
          <w:ilvl w:val="0"/>
          <w:numId w:val="2"/>
        </w:numPr>
        <w:pBdr/>
        <w:shd w:val="clear" w:fill="auto"/>
        <w:spacing w:lineRule="auto" w:line="273"/>
        <w:ind w:hanging="360" w:left="590"/>
        <w:rPr>
          <w:rFonts w:ascii="Arial" w:hAnsi="Arial"/>
          <w:sz w:val="20"/>
          <w:szCs w:val="20"/>
        </w:rPr>
      </w:pPr>
      <w:r>
        <w:rPr>
          <w:rFonts w:eastAsia="Google Sans" w:cs="Google Sans" w:ascii="Arial" w:hAnsi="Arial"/>
          <w:b/>
          <w:bCs/>
          <w:color w:val="1F1F1F"/>
          <w:sz w:val="20"/>
          <w:szCs w:val="20"/>
        </w:rPr>
        <w:t>Memoria RAM:</w:t>
      </w:r>
      <w:r>
        <w:rPr>
          <w:rFonts w:eastAsia="Google Sans" w:cs="Google Sans" w:ascii="Arial" w:hAnsi="Arial"/>
          <w:color w:val="1F1F1F"/>
          <w:sz w:val="20"/>
          <w:szCs w:val="20"/>
        </w:rPr>
        <w:t xml:space="preserve"> Mínimo 16 GB (Zimbra ejecuta servicios intensivos en Java como Lucene y MariaDB).</w:t>
      </w:r>
    </w:p>
    <w:p>
      <w:pPr>
        <w:pStyle w:val="normal1"/>
        <w:numPr>
          <w:ilvl w:val="0"/>
          <w:numId w:val="2"/>
        </w:numPr>
        <w:pBdr/>
        <w:shd w:val="clear" w:fill="auto"/>
        <w:spacing w:lineRule="auto" w:line="273"/>
        <w:ind w:hanging="360" w:left="590"/>
        <w:rPr>
          <w:rFonts w:ascii="Arial" w:hAnsi="Arial"/>
          <w:sz w:val="20"/>
          <w:szCs w:val="20"/>
        </w:rPr>
      </w:pPr>
      <w:r>
        <w:rPr>
          <w:rFonts w:eastAsia="Google Sans" w:cs="Google Sans" w:ascii="Arial" w:hAnsi="Arial"/>
          <w:b/>
          <w:bCs/>
          <w:color w:val="1F1F1F"/>
          <w:sz w:val="20"/>
          <w:szCs w:val="20"/>
        </w:rPr>
        <w:t>Almacenamiento:</w:t>
      </w:r>
    </w:p>
    <w:p>
      <w:pPr>
        <w:pStyle w:val="normal1"/>
        <w:numPr>
          <w:ilvl w:val="1"/>
          <w:numId w:val="3"/>
        </w:numPr>
        <w:pBdr/>
        <w:shd w:val="clear" w:fill="auto"/>
        <w:spacing w:lineRule="auto" w:line="273"/>
        <w:ind w:hanging="360" w:left="640"/>
        <w:rPr>
          <w:rFonts w:ascii="Arial" w:hAnsi="Arial"/>
          <w:sz w:val="20"/>
          <w:szCs w:val="20"/>
        </w:rPr>
      </w:pPr>
      <w:r>
        <w:rPr>
          <w:rFonts w:eastAsia="Google Sans" w:cs="Google Sans" w:ascii="Arial" w:hAnsi="Arial"/>
          <w:b/>
          <w:bCs/>
          <w:color w:val="1F1F1F"/>
          <w:sz w:val="20"/>
          <w:szCs w:val="20"/>
        </w:rPr>
        <w:t>Sistema y aplicación:</w:t>
      </w:r>
      <w:r>
        <w:rPr>
          <w:rFonts w:eastAsia="Google Sans" w:cs="Google Sans" w:ascii="Arial" w:hAnsi="Arial"/>
          <w:color w:val="1F1F1F"/>
          <w:sz w:val="20"/>
          <w:szCs w:val="20"/>
        </w:rPr>
        <w:t xml:space="preserve"> 100 GB (SSD / NVMe).</w:t>
      </w:r>
    </w:p>
    <w:p>
      <w:pPr>
        <w:pStyle w:val="normal1"/>
        <w:numPr>
          <w:ilvl w:val="1"/>
          <w:numId w:val="3"/>
        </w:numPr>
        <w:pBdr/>
        <w:shd w:val="clear" w:fill="auto"/>
        <w:spacing w:lineRule="auto" w:line="273"/>
        <w:ind w:hanging="360" w:left="640"/>
        <w:rPr>
          <w:rFonts w:ascii="Arial" w:hAnsi="Arial"/>
          <w:sz w:val="20"/>
          <w:szCs w:val="20"/>
        </w:rPr>
      </w:pPr>
      <w:r>
        <w:rPr>
          <w:rFonts w:eastAsia="Google Sans" w:cs="Google Sans" w:ascii="Arial" w:hAnsi="Arial"/>
          <w:b/>
          <w:bCs/>
          <w:color w:val="1F1F1F"/>
          <w:sz w:val="20"/>
          <w:szCs w:val="20"/>
        </w:rPr>
        <w:t>Buzones de correo (SPOOL/STORE):</w:t>
      </w:r>
      <w:r>
        <w:rPr>
          <w:rFonts w:eastAsia="Google Sans" w:cs="Google Sans" w:ascii="Arial" w:hAnsi="Arial"/>
          <w:color w:val="1F1F1F"/>
          <w:sz w:val="20"/>
          <w:szCs w:val="20"/>
        </w:rPr>
        <w:t xml:space="preserve"> Tamaño dimensionado según el volumen actual del servidor Dovecot + 30% de margen de crecimiento.</w:t>
      </w:r>
    </w:p>
    <w:p>
      <w:pPr>
        <w:pStyle w:val="normal1"/>
        <w:numPr>
          <w:ilvl w:val="0"/>
          <w:numId w:val="2"/>
        </w:numPr>
        <w:pBdr/>
        <w:shd w:val="clear" w:fill="auto"/>
        <w:spacing w:lineRule="auto" w:line="273"/>
        <w:ind w:hanging="360" w:left="590"/>
        <w:rPr>
          <w:rFonts w:ascii="Arial" w:hAnsi="Arial"/>
          <w:sz w:val="20"/>
          <w:szCs w:val="20"/>
        </w:rPr>
      </w:pPr>
      <w:r>
        <w:rPr>
          <w:rFonts w:eastAsia="Google Sans" w:cs="Google Sans" w:ascii="Arial" w:hAnsi="Arial"/>
          <w:b/>
          <w:bCs/>
          <w:color w:val="1F1F1F"/>
          <w:sz w:val="20"/>
          <w:szCs w:val="20"/>
        </w:rPr>
        <w:t>Red y DNS:</w:t>
      </w:r>
      <w:r>
        <w:rPr>
          <w:rFonts w:eastAsia="Google Sans" w:cs="Google Sans" w:ascii="Arial" w:hAnsi="Arial"/>
          <w:color w:val="1F1F1F"/>
          <w:sz w:val="20"/>
          <w:szCs w:val="20"/>
        </w:rPr>
        <w:t xml:space="preserve"> Registros A, MX, PTR (Reverse DNS), SPF, DKIM y DMARC correctamente alineados.</w:t>
      </w:r>
    </w:p>
    <w:p>
      <w:pPr>
        <w:pStyle w:val="normal1"/>
        <w:numPr>
          <w:ilvl w:val="0"/>
          <w:numId w:val="0"/>
        </w:numPr>
        <w:pBdr/>
        <w:shd w:val="clear" w:fill="auto"/>
        <w:spacing w:lineRule="auto" w:line="273"/>
        <w:ind w:hanging="0" w:left="590"/>
        <w:rPr>
          <w:rFonts w:eastAsia="Google Sans" w:cs="Google Sans"/>
          <w:color w:val="1F1F1F"/>
        </w:rPr>
      </w:pPr>
      <w:r>
        <w:rPr>
          <w:rFonts w:ascii="Arial" w:hAnsi="Arial"/>
          <w:sz w:val="20"/>
          <w:szCs w:val="20"/>
        </w:rPr>
      </w:r>
    </w:p>
    <w:p>
      <w:pPr>
        <w:pStyle w:val="Heading3"/>
        <w:pBdr/>
        <w:shd w:val="clear" w:fill="auto"/>
        <w:spacing w:lineRule="auto" w:line="273" w:before="0" w:after="0"/>
        <w:rPr>
          <w:rFonts w:eastAsia="Google Sans" w:cs="Google Sans"/>
          <w:color w:val="1F1F1F"/>
        </w:rPr>
      </w:pPr>
      <w:r>
        <w:rPr>
          <w:rFonts w:ascii="Arial" w:hAnsi="Arial"/>
          <w:sz w:val="20"/>
          <w:szCs w:val="20"/>
        </w:rPr>
      </w:r>
    </w:p>
    <w:p>
      <w:pPr>
        <w:pStyle w:val="Heading3"/>
        <w:pBdr/>
        <w:shd w:val="clear" w:fill="auto"/>
        <w:spacing w:lineRule="auto" w:line="273" w:before="0" w:after="0"/>
        <w:rPr>
          <w:rFonts w:ascii="Arial" w:hAnsi="Arial"/>
          <w:sz w:val="20"/>
          <w:szCs w:val="20"/>
        </w:rPr>
      </w:pPr>
      <w:r>
        <w:rPr>
          <w:rFonts w:eastAsia="Google Sans" w:cs="Google Sans" w:ascii="Arial" w:hAnsi="Arial"/>
          <w:color w:val="1F1F1F"/>
          <w:sz w:val="20"/>
          <w:szCs w:val="20"/>
        </w:rPr>
        <w:t>4. Fases del Plan de Migración</w:t>
      </w:r>
    </w:p>
    <w:p>
      <w:pPr>
        <w:pStyle w:val="Heading4"/>
        <w:pBdr/>
        <w:shd w:val="clear" w:fill="auto"/>
        <w:spacing w:lineRule="auto" w:line="273" w:before="0" w:after="0"/>
        <w:rPr>
          <w:rFonts w:eastAsia="Google Sans" w:cs="Google Sans"/>
          <w:color w:val="1F1F1F"/>
        </w:rPr>
      </w:pPr>
      <w:r>
        <w:rPr>
          <w:rFonts w:ascii="Arial" w:hAnsi="Arial"/>
          <w:sz w:val="20"/>
          <w:szCs w:val="20"/>
        </w:rPr>
      </w:r>
    </w:p>
    <w:p>
      <w:pPr>
        <w:pStyle w:val="Heading4"/>
        <w:pBdr/>
        <w:shd w:val="clear" w:fill="auto"/>
        <w:spacing w:lineRule="auto" w:line="273" w:before="0" w:after="0"/>
        <w:rPr>
          <w:rFonts w:ascii="Arial" w:hAnsi="Arial"/>
          <w:sz w:val="20"/>
          <w:szCs w:val="20"/>
        </w:rPr>
      </w:pPr>
      <w:r>
        <w:rPr>
          <w:rFonts w:eastAsia="Google Sans" w:cs="Google Sans" w:ascii="Arial" w:hAnsi="Arial"/>
          <w:color w:val="1F1F1F"/>
          <w:sz w:val="20"/>
          <w:szCs w:val="20"/>
        </w:rPr>
        <w:t>Fase 1: Preparación y Entorno de Pruebas</w:t>
      </w:r>
    </w:p>
    <w:p>
      <w:pPr>
        <w:pStyle w:val="normal1"/>
        <w:numPr>
          <w:ilvl w:val="0"/>
          <w:numId w:val="4"/>
        </w:numPr>
        <w:pBdr/>
        <w:shd w:val="clear" w:fill="auto"/>
        <w:spacing w:lineRule="auto" w:line="273"/>
        <w:ind w:hanging="360" w:left="600"/>
        <w:rPr>
          <w:rFonts w:ascii="Arial" w:hAnsi="Arial"/>
          <w:sz w:val="20"/>
          <w:szCs w:val="20"/>
        </w:rPr>
      </w:pPr>
      <w:r>
        <w:rPr>
          <w:rFonts w:eastAsia="Google Sans" w:cs="Google Sans" w:ascii="Arial" w:hAnsi="Arial"/>
          <w:color w:val="1F1F1F"/>
          <w:sz w:val="20"/>
          <w:szCs w:val="20"/>
        </w:rPr>
        <w:t>Despliegue de un servidor virtual de pruebas con Zimbra ZCS.</w:t>
      </w:r>
    </w:p>
    <w:p>
      <w:pPr>
        <w:pStyle w:val="normal1"/>
        <w:numPr>
          <w:ilvl w:val="0"/>
          <w:numId w:val="4"/>
        </w:numPr>
        <w:pBdr/>
        <w:shd w:val="clear" w:fill="auto"/>
        <w:spacing w:lineRule="auto" w:line="273"/>
        <w:ind w:hanging="360" w:left="600"/>
        <w:rPr>
          <w:rFonts w:ascii="Arial" w:hAnsi="Arial"/>
          <w:sz w:val="20"/>
          <w:szCs w:val="20"/>
        </w:rPr>
      </w:pPr>
      <w:r>
        <w:rPr>
          <w:rFonts w:eastAsia="Google Sans" w:cs="Google Sans" w:ascii="Arial" w:hAnsi="Arial"/>
          <w:color w:val="1F1F1F"/>
          <w:sz w:val="20"/>
          <w:szCs w:val="20"/>
        </w:rPr>
        <w:t>Configuración de la integración con el sistema de autenticación LDAP institucional.</w:t>
      </w:r>
    </w:p>
    <w:p>
      <w:pPr>
        <w:pStyle w:val="normal1"/>
        <w:numPr>
          <w:ilvl w:val="0"/>
          <w:numId w:val="4"/>
        </w:numPr>
        <w:pBdr/>
        <w:shd w:val="clear" w:fill="auto"/>
        <w:spacing w:lineRule="auto" w:line="273"/>
        <w:ind w:hanging="360" w:left="600"/>
        <w:rPr>
          <w:rFonts w:ascii="Arial" w:hAnsi="Arial"/>
          <w:sz w:val="20"/>
          <w:szCs w:val="20"/>
        </w:rPr>
      </w:pPr>
      <w:r>
        <w:rPr>
          <w:rFonts w:eastAsia="Google Sans" w:cs="Google Sans" w:ascii="Arial" w:hAnsi="Arial"/>
          <w:color w:val="1F1F1F"/>
          <w:sz w:val="20"/>
          <w:szCs w:val="20"/>
        </w:rPr>
        <w:t>Validación de políticas de seguridad, firmas DKIM y filtros de entrada/salida.</w:t>
      </w:r>
    </w:p>
    <w:p>
      <w:pPr>
        <w:pStyle w:val="Heading4"/>
        <w:pBdr/>
        <w:shd w:val="clear" w:fill="auto"/>
        <w:spacing w:lineRule="auto" w:line="273" w:before="0" w:after="0"/>
        <w:rPr>
          <w:rFonts w:ascii="Arial" w:hAnsi="Arial"/>
          <w:sz w:val="20"/>
          <w:szCs w:val="20"/>
        </w:rPr>
      </w:pPr>
      <w:r>
        <w:rPr>
          <w:rFonts w:eastAsia="Google Sans" w:cs="Google Sans" w:ascii="Arial" w:hAnsi="Arial"/>
          <w:color w:val="1F1F1F"/>
          <w:sz w:val="20"/>
          <w:szCs w:val="20"/>
        </w:rPr>
        <w:t>Fase 2: Estrategia de Migración de Datos (</w:t>
      </w:r>
      <w:r>
        <w:rPr>
          <w:rFonts w:eastAsia="Google Sans" w:cs="Google Sans" w:ascii="Arial" w:hAnsi="Arial"/>
          <w:b/>
          <w:bCs/>
          <w:i/>
          <w:iCs/>
          <w:color w:val="1F1F1F"/>
          <w:sz w:val="20"/>
          <w:szCs w:val="20"/>
        </w:rPr>
        <w:t>imapsync</w:t>
      </w:r>
      <w:r>
        <w:rPr>
          <w:rFonts w:eastAsia="Google Sans" w:cs="Google Sans" w:ascii="Arial" w:hAnsi="Arial"/>
          <w:color w:val="1F1F1F"/>
          <w:sz w:val="20"/>
          <w:szCs w:val="20"/>
        </w:rPr>
        <w:t>)</w:t>
      </w:r>
    </w:p>
    <w:p>
      <w:pPr>
        <w:pStyle w:val="normal1"/>
        <w:numPr>
          <w:ilvl w:val="0"/>
          <w:numId w:val="5"/>
        </w:numPr>
        <w:pBdr/>
        <w:shd w:val="clear" w:fill="auto"/>
        <w:spacing w:lineRule="auto" w:line="273"/>
        <w:ind w:hanging="360" w:left="600"/>
        <w:rPr>
          <w:rFonts w:ascii="Arial" w:hAnsi="Arial"/>
          <w:sz w:val="20"/>
          <w:szCs w:val="20"/>
        </w:rPr>
      </w:pPr>
      <w:r>
        <w:rPr>
          <w:rFonts w:eastAsia="Google Sans" w:cs="Google Sans" w:ascii="Arial" w:hAnsi="Arial"/>
          <w:color w:val="1F1F1F"/>
          <w:sz w:val="20"/>
          <w:szCs w:val="20"/>
        </w:rPr>
        <w:t>Creación de los buzones de usuario en Zimbra vía scripts de automatización (CLI zmprov).</w:t>
      </w:r>
    </w:p>
    <w:p>
      <w:pPr>
        <w:pStyle w:val="normal1"/>
        <w:numPr>
          <w:ilvl w:val="0"/>
          <w:numId w:val="5"/>
        </w:numPr>
        <w:pBdr/>
        <w:shd w:val="clear" w:fill="auto"/>
        <w:spacing w:lineRule="auto" w:line="273"/>
        <w:ind w:hanging="360" w:left="600"/>
        <w:rPr>
          <w:rFonts w:ascii="Arial" w:hAnsi="Arial"/>
          <w:sz w:val="20"/>
          <w:szCs w:val="20"/>
        </w:rPr>
      </w:pPr>
      <w:r>
        <w:rPr>
          <w:rFonts w:eastAsia="Google Sans" w:cs="Google Sans" w:ascii="Arial" w:hAnsi="Arial"/>
          <w:color w:val="1F1F1F"/>
          <w:sz w:val="20"/>
          <w:szCs w:val="20"/>
        </w:rPr>
        <w:t xml:space="preserve">Sincronización inicial de carpetas y correos desde Dovecot hacia Zimbra mediante la herramienta </w:t>
      </w:r>
      <w:r>
        <w:rPr>
          <w:rFonts w:eastAsia="Google Sans" w:cs="Google Sans" w:ascii="Arial" w:hAnsi="Arial"/>
          <w:b/>
          <w:bCs/>
          <w:color w:val="1F1F1F"/>
          <w:sz w:val="20"/>
          <w:szCs w:val="20"/>
        </w:rPr>
        <w:t>imapsync</w:t>
      </w:r>
      <w:r>
        <w:rPr>
          <w:rFonts w:eastAsia="Google Sans" w:cs="Google Sans" w:ascii="Arial" w:hAnsi="Arial"/>
          <w:color w:val="1F1F1F"/>
          <w:sz w:val="20"/>
          <w:szCs w:val="20"/>
        </w:rPr>
        <w:t>, ejecutada en segundo plano sin interrumpir el servicio activo.</w:t>
      </w:r>
    </w:p>
    <w:p>
      <w:pPr>
        <w:pStyle w:val="Heading4"/>
        <w:pBdr/>
        <w:shd w:val="clear" w:fill="auto"/>
        <w:spacing w:lineRule="auto" w:line="273" w:before="0" w:after="0"/>
        <w:rPr>
          <w:rFonts w:ascii="Arial" w:hAnsi="Arial"/>
          <w:sz w:val="20"/>
          <w:szCs w:val="20"/>
        </w:rPr>
      </w:pPr>
      <w:r>
        <w:rPr>
          <w:rFonts w:eastAsia="Google Sans" w:cs="Google Sans" w:ascii="Arial" w:hAnsi="Arial"/>
          <w:color w:val="1F1F1F"/>
          <w:sz w:val="20"/>
          <w:szCs w:val="20"/>
        </w:rPr>
        <w:t>Fase 3: Transición y Puesta en Producción (</w:t>
      </w:r>
      <w:r>
        <w:rPr>
          <w:rFonts w:eastAsia="Google Sans" w:cs="Google Sans" w:ascii="Arial" w:hAnsi="Arial"/>
          <w:b/>
          <w:bCs/>
          <w:i/>
          <w:iCs/>
          <w:color w:val="1F1F1F"/>
          <w:sz w:val="20"/>
          <w:szCs w:val="20"/>
        </w:rPr>
        <w:t>Cutover</w:t>
      </w:r>
      <w:r>
        <w:rPr>
          <w:rFonts w:eastAsia="Google Sans" w:cs="Google Sans" w:ascii="Arial" w:hAnsi="Arial"/>
          <w:color w:val="1F1F1F"/>
          <w:sz w:val="20"/>
          <w:szCs w:val="20"/>
        </w:rPr>
        <w:t>)</w:t>
      </w:r>
    </w:p>
    <w:p>
      <w:pPr>
        <w:pStyle w:val="normal1"/>
        <w:numPr>
          <w:ilvl w:val="0"/>
          <w:numId w:val="6"/>
        </w:numPr>
        <w:pBdr/>
        <w:shd w:val="clear" w:fill="auto"/>
        <w:spacing w:lineRule="auto" w:line="273"/>
        <w:ind w:hanging="360" w:left="600"/>
        <w:rPr>
          <w:rFonts w:ascii="Arial" w:hAnsi="Arial"/>
          <w:sz w:val="20"/>
          <w:szCs w:val="20"/>
        </w:rPr>
      </w:pPr>
      <w:r>
        <w:rPr>
          <w:rFonts w:eastAsia="Google Sans" w:cs="Google Sans" w:ascii="Arial" w:hAnsi="Arial"/>
          <w:color w:val="1F1F1F"/>
          <w:sz w:val="20"/>
          <w:szCs w:val="20"/>
        </w:rPr>
        <w:t>Realización de una última sincronización diferencial con imapsync para copiar los correos más recientes.</w:t>
      </w:r>
    </w:p>
    <w:p>
      <w:pPr>
        <w:pStyle w:val="normal1"/>
        <w:numPr>
          <w:ilvl w:val="0"/>
          <w:numId w:val="6"/>
        </w:numPr>
        <w:pBdr/>
        <w:shd w:val="clear" w:fill="auto"/>
        <w:spacing w:lineRule="auto" w:line="273"/>
        <w:ind w:hanging="360" w:left="600"/>
        <w:rPr>
          <w:rFonts w:ascii="Arial" w:hAnsi="Arial"/>
          <w:sz w:val="20"/>
          <w:szCs w:val="20"/>
        </w:rPr>
      </w:pPr>
      <w:r>
        <w:rPr>
          <w:rFonts w:eastAsia="Google Sans" w:cs="Google Sans" w:ascii="Arial" w:hAnsi="Arial"/>
          <w:color w:val="1F1F1F"/>
          <w:sz w:val="20"/>
          <w:szCs w:val="20"/>
        </w:rPr>
        <w:t>Cambio de registros DNS (MX y A) para apuntar el tráfico hacia el nuevo servidor Zimbra.</w:t>
      </w:r>
    </w:p>
    <w:p>
      <w:pPr>
        <w:pStyle w:val="normal1"/>
        <w:numPr>
          <w:ilvl w:val="0"/>
          <w:numId w:val="6"/>
        </w:numPr>
        <w:pBdr/>
        <w:shd w:val="clear" w:fill="auto"/>
        <w:spacing w:lineRule="auto" w:line="273"/>
        <w:ind w:hanging="360" w:left="600"/>
        <w:rPr>
          <w:rFonts w:ascii="Arial" w:hAnsi="Arial"/>
          <w:sz w:val="20"/>
          <w:szCs w:val="20"/>
        </w:rPr>
      </w:pPr>
      <w:r>
        <w:rPr>
          <w:rFonts w:eastAsia="Google Sans" w:cs="Google Sans" w:ascii="Arial" w:hAnsi="Arial"/>
          <w:color w:val="1F1F1F"/>
          <w:sz w:val="20"/>
          <w:szCs w:val="20"/>
        </w:rPr>
        <w:t>Redirección del acceso webmail del antiguo Roundcube a la interfaz web de Zimbra.</w:t>
      </w:r>
    </w:p>
    <w:p>
      <w:pPr>
        <w:pStyle w:val="Heading3"/>
        <w:pBdr/>
        <w:shd w:val="clear" w:fill="auto"/>
        <w:spacing w:lineRule="auto" w:line="273" w:before="0" w:after="0"/>
        <w:rPr>
          <w:rFonts w:eastAsia="Google Sans" w:cs="Google Sans"/>
          <w:color w:val="1F1F1F"/>
        </w:rPr>
      </w:pPr>
      <w:r>
        <w:rPr>
          <w:rFonts w:ascii="Arial" w:hAnsi="Arial"/>
          <w:sz w:val="20"/>
          <w:szCs w:val="20"/>
        </w:rPr>
      </w:r>
    </w:p>
    <w:p>
      <w:pPr>
        <w:pStyle w:val="Heading3"/>
        <w:pBdr/>
        <w:shd w:val="clear" w:fill="auto"/>
        <w:spacing w:lineRule="auto" w:line="273" w:before="0" w:after="0"/>
        <w:rPr>
          <w:rFonts w:eastAsia="Google Sans" w:cs="Google Sans"/>
          <w:color w:val="1F1F1F"/>
        </w:rPr>
      </w:pPr>
      <w:r>
        <w:rPr>
          <w:rFonts w:ascii="Arial" w:hAnsi="Arial"/>
          <w:sz w:val="20"/>
          <w:szCs w:val="20"/>
        </w:rPr>
      </w:r>
    </w:p>
    <w:p>
      <w:pPr>
        <w:pStyle w:val="Heading3"/>
        <w:pBdr/>
        <w:shd w:val="clear" w:fill="auto"/>
        <w:spacing w:lineRule="auto" w:line="273" w:before="0" w:after="0"/>
        <w:rPr>
          <w:rFonts w:ascii="Arial" w:hAnsi="Arial"/>
          <w:sz w:val="20"/>
          <w:szCs w:val="20"/>
        </w:rPr>
      </w:pPr>
      <w:r>
        <w:rPr>
          <w:rFonts w:eastAsia="Google Sans" w:cs="Google Sans" w:ascii="Arial" w:hAnsi="Arial"/>
          <w:color w:val="1F1F1F"/>
          <w:sz w:val="20"/>
          <w:szCs w:val="20"/>
        </w:rPr>
        <w:t>5. Evaluación de Riesgos y Mitigación</w:t>
      </w:r>
    </w:p>
    <w:p>
      <w:pPr>
        <w:pStyle w:val="normal1"/>
        <w:pBdr/>
        <w:shd w:val="clear" w:fill="auto"/>
        <w:spacing w:lineRule="auto" w:line="273" w:before="0"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normal1"/>
        <w:pBdr/>
        <w:shd w:val="clear" w:fill="auto"/>
        <w:spacing w:lineRule="auto" w:line="273"/>
        <w:rPr>
          <w:rFonts w:ascii="Arial" w:hAnsi="Arial"/>
          <w:sz w:val="20"/>
          <w:szCs w:val="20"/>
        </w:rPr>
      </w:pPr>
      <w:r>
        <w:rPr>
          <w:rFonts w:eastAsia="Google Sans" w:cs="Google Sans" w:ascii="Arial" w:hAnsi="Arial"/>
          <w:b/>
          <w:bCs/>
          <w:color w:val="1F1F1F"/>
          <w:sz w:val="20"/>
          <w:szCs w:val="20"/>
        </w:rPr>
        <w:t>Consumo de Recursos:</w:t>
      </w:r>
      <w:r>
        <w:rPr>
          <w:rFonts w:eastAsia="Google Sans" w:cs="Google Sans" w:ascii="Arial" w:hAnsi="Arial"/>
          <w:color w:val="1F1F1F"/>
          <w:sz w:val="20"/>
          <w:szCs w:val="20"/>
        </w:rPr>
        <w:t xml:space="preserve"> Zimbra requiere significativamente más memoria RAM y CPU que la pila ligera Postfix/Dovecot.</w:t>
      </w:r>
    </w:p>
    <w:p>
      <w:pPr>
        <w:pStyle w:val="normal1"/>
        <w:pBdr/>
        <w:shd w:val="clear" w:fill="auto"/>
        <w:spacing w:lineRule="auto" w:line="273"/>
        <w:rPr>
          <w:rFonts w:ascii="Arial" w:hAnsi="Arial"/>
          <w:sz w:val="20"/>
          <w:szCs w:val="20"/>
        </w:rPr>
      </w:pPr>
      <w:r>
        <w:rPr>
          <w:rFonts w:eastAsia="Google Sans" w:cs="Google Sans" w:ascii="Arial" w:hAnsi="Arial"/>
          <w:i/>
          <w:iCs/>
          <w:color w:val="1F1F1F"/>
          <w:sz w:val="20"/>
          <w:szCs w:val="20"/>
        </w:rPr>
        <w:tab/>
        <w:t>Mitigación:</w:t>
      </w:r>
      <w:r>
        <w:rPr>
          <w:rFonts w:eastAsia="Google Sans" w:cs="Google Sans" w:ascii="Arial" w:hAnsi="Arial"/>
          <w:color w:val="1F1F1F"/>
          <w:sz w:val="20"/>
          <w:szCs w:val="20"/>
        </w:rPr>
        <w:t xml:space="preserve"> Garantizar la asignación previa de recursos en el hipervisor (Proxmox/VMware).</w:t>
      </w:r>
    </w:p>
    <w:p>
      <w:pPr>
        <w:pStyle w:val="normal1"/>
        <w:pBdr/>
        <w:shd w:val="clear" w:fill="auto"/>
        <w:spacing w:lineRule="auto" w:line="273"/>
        <w:rPr>
          <w:rFonts w:ascii="Arial" w:hAnsi="Arial"/>
          <w:sz w:val="20"/>
          <w:szCs w:val="20"/>
        </w:rPr>
      </w:pPr>
      <w:r>
        <w:rPr>
          <w:rFonts w:eastAsia="Google Sans" w:cs="Google Sans" w:ascii="Arial" w:hAnsi="Arial"/>
          <w:b/>
          <w:bCs/>
          <w:color w:val="1F1F1F"/>
          <w:sz w:val="20"/>
          <w:szCs w:val="20"/>
        </w:rPr>
        <w:t>Interrupción del Servicio:</w:t>
      </w:r>
    </w:p>
    <w:p>
      <w:pPr>
        <w:pStyle w:val="normal1"/>
        <w:pBdr/>
        <w:shd w:val="clear" w:fill="auto"/>
        <w:spacing w:lineRule="auto" w:line="273"/>
        <w:rPr>
          <w:rFonts w:ascii="Arial" w:hAnsi="Arial"/>
          <w:sz w:val="20"/>
          <w:szCs w:val="20"/>
        </w:rPr>
      </w:pPr>
      <w:r>
        <w:rPr>
          <w:rFonts w:eastAsia="Google Sans" w:cs="Google Sans" w:ascii="Arial" w:hAnsi="Arial"/>
          <w:i/>
          <w:iCs/>
          <w:color w:val="1F1F1F"/>
          <w:sz w:val="20"/>
          <w:szCs w:val="20"/>
        </w:rPr>
        <w:tab/>
        <w:t>Mitigación:</w:t>
      </w:r>
      <w:r>
        <w:rPr>
          <w:rFonts w:eastAsia="Google Sans" w:cs="Google Sans" w:ascii="Arial" w:hAnsi="Arial"/>
          <w:color w:val="1F1F1F"/>
          <w:sz w:val="20"/>
          <w:szCs w:val="20"/>
        </w:rPr>
        <w:t xml:space="preserve"> La migración con imapsync permite mantener el servidor Postfix activo durante la copia de datos, reduciendo la ventana de mantenimiento del cambio de DNS a menos de 1 hora.</w:t>
      </w:r>
    </w:p>
    <w:p>
      <w:pPr>
        <w:pStyle w:val="Heading3"/>
        <w:pBdr/>
        <w:shd w:val="clear" w:fill="auto"/>
        <w:spacing w:lineRule="auto" w:line="273" w:before="0" w:after="0"/>
        <w:rPr>
          <w:rFonts w:eastAsia="Google Sans" w:cs="Google Sans"/>
          <w:color w:val="1F1F1F"/>
        </w:rPr>
      </w:pPr>
      <w:r>
        <w:rPr>
          <w:rFonts w:ascii="Arial" w:hAnsi="Arial"/>
          <w:sz w:val="20"/>
          <w:szCs w:val="20"/>
        </w:rPr>
      </w:r>
    </w:p>
    <w:p>
      <w:pPr>
        <w:pStyle w:val="normal1"/>
        <w:pBdr/>
        <w:shd w:val="clear" w:fill="auto"/>
        <w:spacing w:lineRule="auto" w:line="273" w:before="0" w:after="0"/>
        <w:rPr>
          <w:rFonts w:eastAsia="Google Sans" w:cs="Google Sans"/>
          <w:color w:val="1F1F1F"/>
        </w:rPr>
      </w:pPr>
      <w:r>
        <w:rPr>
          <w:rFonts w:ascii="Arial" w:hAnsi="Arial"/>
          <w:sz w:val="20"/>
          <w:szCs w:val="20"/>
        </w:rPr>
      </w:r>
    </w:p>
    <w:p>
      <w:pPr>
        <w:pStyle w:val="Heading3"/>
        <w:pBdr/>
        <w:shd w:val="clear" w:fill="auto"/>
        <w:spacing w:lineRule="auto" w:line="273" w:before="0" w:after="0"/>
        <w:rPr>
          <w:rFonts w:ascii="Arial" w:hAnsi="Arial"/>
          <w:sz w:val="20"/>
          <w:szCs w:val="20"/>
        </w:rPr>
      </w:pPr>
      <w:r>
        <w:rPr>
          <w:rFonts w:eastAsia="Google Sans" w:cs="Google Sans" w:ascii="Arial" w:hAnsi="Arial"/>
          <w:color w:val="1F1F1F"/>
          <w:sz w:val="20"/>
          <w:szCs w:val="20"/>
        </w:rPr>
        <w:t>6. Conclusión y Recomendación</w:t>
      </w:r>
    </w:p>
    <w:p>
      <w:pPr>
        <w:pStyle w:val="normal1"/>
        <w:pBdr/>
        <w:shd w:val="clear" w:fill="auto"/>
        <w:spacing w:lineRule="auto" w:line="273"/>
        <w:rPr>
          <w:rFonts w:eastAsia="Google Sans" w:cs="Google Sans"/>
          <w:color w:val="1F1F1F"/>
        </w:rPr>
      </w:pPr>
      <w:r>
        <w:rPr>
          <w:rFonts w:ascii="Arial" w:hAnsi="Arial"/>
          <w:sz w:val="20"/>
          <w:szCs w:val="20"/>
        </w:rPr>
      </w:r>
    </w:p>
    <w:p>
      <w:pPr>
        <w:pStyle w:val="normal1"/>
        <w:pBdr/>
        <w:shd w:val="clear" w:fill="auto"/>
        <w:spacing w:lineRule="auto" w:line="273"/>
        <w:rPr>
          <w:rFonts w:ascii="Arial" w:hAnsi="Arial"/>
          <w:sz w:val="20"/>
          <w:szCs w:val="20"/>
        </w:rPr>
      </w:pPr>
      <w:r>
        <w:rPr>
          <w:rFonts w:eastAsia="Google Sans" w:cs="Google Sans" w:ascii="Arial" w:hAnsi="Arial"/>
          <w:color w:val="1F1F1F"/>
          <w:sz w:val="20"/>
          <w:szCs w:val="20"/>
        </w:rPr>
        <w:t xml:space="preserve">La migración a </w:t>
      </w:r>
      <w:r>
        <w:rPr>
          <w:rFonts w:eastAsia="Google Sans" w:cs="Google Sans" w:ascii="Arial" w:hAnsi="Arial"/>
          <w:b/>
          <w:bCs/>
          <w:color w:val="1F1F1F"/>
          <w:sz w:val="20"/>
          <w:szCs w:val="20"/>
        </w:rPr>
        <w:t>Zimbra Collaboration Suite</w:t>
      </w:r>
      <w:r>
        <w:rPr>
          <w:rFonts w:eastAsia="Google Sans" w:cs="Google Sans" w:ascii="Arial" w:hAnsi="Arial"/>
          <w:color w:val="1F1F1F"/>
          <w:sz w:val="20"/>
          <w:szCs w:val="20"/>
        </w:rPr>
        <w:t xml:space="preserve"> representa un salto cualitativo para la facultad, unificando la administración de correo y dotando a los usuarios de herramientas de colaboración modernas. Se recomienda </w:t>
      </w:r>
      <w:r>
        <w:rPr>
          <w:rFonts w:eastAsia="Google Sans" w:cs="Google Sans" w:ascii="Arial" w:hAnsi="Arial"/>
          <w:color w:val="1F1F1F"/>
          <w:sz w:val="20"/>
          <w:szCs w:val="20"/>
        </w:rPr>
        <w:t xml:space="preserve">realizar una </w:t>
      </w:r>
      <w:r>
        <w:rPr>
          <w:rFonts w:eastAsia="Google Sans" w:cs="Google Sans" w:ascii="Arial" w:hAnsi="Arial"/>
          <w:color w:val="1F1F1F"/>
          <w:sz w:val="20"/>
          <w:szCs w:val="20"/>
        </w:rPr>
        <w:t xml:space="preserve">fase de pruebas y el aprovisionamiento de recursos en la infraestructura de servidores </w:t>
      </w:r>
      <w:r>
        <w:rPr>
          <w:rFonts w:eastAsia="Google Sans" w:cs="Google Sans" w:ascii="Arial" w:hAnsi="Arial"/>
          <w:color w:val="1F1F1F"/>
          <w:sz w:val="20"/>
          <w:szCs w:val="20"/>
        </w:rPr>
        <w:t>antes de tomar la decisión de migrar.</w:t>
      </w:r>
    </w:p>
    <w:p>
      <w:pPr>
        <w:pStyle w:val="normal1"/>
        <w:pBdr/>
        <w:shd w:val="clear" w:fill="auto"/>
        <w:spacing w:lineRule="auto" w:line="273"/>
        <w:rPr>
          <w:rFonts w:eastAsia="Google Sans" w:cs="Google Sans"/>
          <w:color w:val="1F1F1F"/>
        </w:rPr>
      </w:pPr>
      <w:r>
        <w:rPr>
          <w:rFonts w:ascii="Arial" w:hAnsi="Arial"/>
          <w:sz w:val="20"/>
          <w:szCs w:val="20"/>
        </w:rPr>
      </w:r>
    </w:p>
    <w:p>
      <w:pPr>
        <w:pStyle w:val="normal1"/>
        <w:pBdr/>
        <w:shd w:val="clear" w:fill="auto"/>
        <w:spacing w:lineRule="auto" w:line="273"/>
        <w:rPr>
          <w:rFonts w:ascii="Arial" w:hAnsi="Arial"/>
          <w:sz w:val="20"/>
          <w:szCs w:val="20"/>
        </w:rPr>
      </w:pPr>
      <w:r>
        <w:rPr>
          <w:rFonts w:eastAsia="Google Sans" w:cs="Google Sans" w:ascii="Arial" w:hAnsi="Arial"/>
          <w:b/>
          <w:bCs/>
          <w:color w:val="1F1F1F"/>
          <w:sz w:val="20"/>
          <w:szCs w:val="20"/>
        </w:rPr>
        <w:t>Costos de implementación y licenciamiento de zimbra (500 cuentas)</w:t>
      </w:r>
    </w:p>
    <w:p>
      <w:pPr>
        <w:pStyle w:val="normal1"/>
        <w:pBdr/>
        <w:shd w:val="clear" w:fill="auto"/>
        <w:spacing w:lineRule="auto" w:line="273"/>
        <w:rPr>
          <w:rFonts w:ascii="Arial" w:hAnsi="Arial"/>
          <w:sz w:val="20"/>
          <w:szCs w:val="20"/>
        </w:rPr>
      </w:pPr>
      <w:r>
        <w:rPr>
          <w:rFonts w:eastAsia="Google Sans" w:cs="Google Sans" w:ascii="Arial" w:hAnsi="Arial"/>
          <w:color w:val="1F1F1F"/>
          <w:sz w:val="20"/>
          <w:szCs w:val="20"/>
        </w:rPr>
        <w:t xml:space="preserve">Para el dimensionamiento de costos en la Facultad de Enfermería para 500 casillas de correo, es necesario evaluar las dos ediciones principales que ofrece la plataforma: </w:t>
      </w:r>
    </w:p>
    <w:p>
      <w:pPr>
        <w:pStyle w:val="normal1"/>
        <w:pBdr/>
        <w:shd w:val="clear" w:fill="auto"/>
        <w:spacing w:lineRule="auto" w:line="273"/>
        <w:rPr>
          <w:rFonts w:ascii="Arial" w:hAnsi="Arial"/>
          <w:sz w:val="20"/>
          <w:szCs w:val="20"/>
        </w:rPr>
      </w:pPr>
      <w:r>
        <w:rPr>
          <w:rFonts w:eastAsia="Google Sans" w:cs="Google Sans" w:ascii="Arial" w:hAnsi="Arial"/>
          <w:color w:val="1F1F1F"/>
          <w:sz w:val="20"/>
          <w:szCs w:val="20"/>
        </w:rPr>
        <w:t xml:space="preserve">Zimbra Community Edition (Open Source) y Zimbra Network Edition (Licenciada).   </w:t>
      </w:r>
    </w:p>
    <w:p>
      <w:pPr>
        <w:pStyle w:val="Heading3"/>
        <w:pBdr/>
        <w:shd w:val="clear" w:fill="auto"/>
        <w:spacing w:lineRule="auto" w:line="273"/>
        <w:rPr>
          <w:rFonts w:ascii="Arial" w:hAnsi="Arial"/>
          <w:sz w:val="20"/>
          <w:szCs w:val="20"/>
        </w:rPr>
      </w:pPr>
      <w:r>
        <w:rPr>
          <w:rFonts w:eastAsia="Google Sans" w:cs="Google Sans" w:ascii="Arial" w:hAnsi="Arial"/>
          <w:color w:val="1F1F1F"/>
          <w:sz w:val="20"/>
          <w:szCs w:val="20"/>
        </w:rPr>
        <w:t>1. Cuadro Comparativo de Opciones de Licenciamiento</w:t>
      </w:r>
    </w:p>
    <w:tbl>
      <w:tblPr>
        <w:tblW w:w="9360" w:type="dxa"/>
        <w:jc w:val="left"/>
        <w:tblInd w:w="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</w:tblPr>
      <w:tblGrid>
        <w:gridCol w:w="2134"/>
        <w:gridCol w:w="2730"/>
        <w:gridCol w:w="4496"/>
      </w:tblGrid>
      <w:tr>
        <w:trPr>
          <w:tblHeader w:val="true"/>
        </w:trPr>
        <w:tc>
          <w:tcPr>
            <w:tcW w:w="2134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>
            <w:pPr>
              <w:pStyle w:val="Contenidodelatabla"/>
              <w:spacing w:lineRule="auto" w:line="273" w:before="0" w:after="0"/>
              <w:ind w:hanging="0" w:left="0" w:right="0"/>
              <w:rPr/>
            </w:pPr>
            <w:r>
              <w:rPr>
                <w:rStyle w:val="Strong"/>
                <w:rFonts w:ascii="Arial" w:hAnsi="Arial"/>
                <w:sz w:val="20"/>
                <w:szCs w:val="20"/>
              </w:rPr>
              <w:t>Concepto</w:t>
            </w:r>
          </w:p>
        </w:tc>
        <w:tc>
          <w:tcPr>
            <w:tcW w:w="2730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>
            <w:pPr>
              <w:pStyle w:val="Contenidodelatabla"/>
              <w:spacing w:lineRule="auto" w:line="273" w:before="0" w:after="0"/>
              <w:ind w:hanging="0" w:left="0" w:right="0"/>
              <w:rPr/>
            </w:pPr>
            <w:r>
              <w:rPr>
                <w:rStyle w:val="Strong"/>
                <w:rFonts w:ascii="Arial" w:hAnsi="Arial"/>
                <w:sz w:val="20"/>
                <w:szCs w:val="20"/>
              </w:rPr>
              <w:t>Opción A: Zimbra Open Source Edition (FOSS)</w:t>
            </w:r>
          </w:p>
        </w:tc>
        <w:tc>
          <w:tcPr>
            <w:tcW w:w="4496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>
            <w:pPr>
              <w:pStyle w:val="Contenidodelatabla"/>
              <w:spacing w:lineRule="auto" w:line="273" w:before="0" w:after="0"/>
              <w:ind w:hanging="0" w:left="0" w:right="0"/>
              <w:rPr/>
            </w:pPr>
            <w:r>
              <w:rPr>
                <w:rStyle w:val="Strong"/>
                <w:rFonts w:ascii="Arial" w:hAnsi="Arial"/>
                <w:sz w:val="20"/>
                <w:szCs w:val="20"/>
              </w:rPr>
              <w:t>Opción B: Zimbra Network Edition (Edición Comercial)</w:t>
            </w:r>
          </w:p>
        </w:tc>
      </w:tr>
      <w:tr>
        <w:trPr/>
        <w:tc>
          <w:tcPr>
            <w:tcW w:w="2134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>
            <w:pPr>
              <w:pStyle w:val="Contenidodelatabla"/>
              <w:spacing w:lineRule="auto" w:line="273" w:before="0" w:after="140"/>
              <w:ind w:hanging="0" w:left="0" w:right="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Costo de Licencia</w:t>
            </w:r>
          </w:p>
        </w:tc>
        <w:tc>
          <w:tcPr>
            <w:tcW w:w="2730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>
            <w:pPr>
              <w:pStyle w:val="Contenidodelatabla"/>
              <w:spacing w:lineRule="auto" w:line="273" w:before="0" w:after="140"/>
              <w:ind w:hanging="0" w:left="0" w:right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$0 USD</w:t>
            </w:r>
            <w:r>
              <w:rPr>
                <w:rFonts w:ascii="Arial" w:hAnsi="Arial"/>
                <w:sz w:val="20"/>
                <w:szCs w:val="20"/>
              </w:rPr>
              <w:t xml:space="preserve"> (Licencia de código abierto).</w:t>
            </w:r>
          </w:p>
        </w:tc>
        <w:tc>
          <w:tcPr>
            <w:tcW w:w="4496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>
            <w:pPr>
              <w:pStyle w:val="Contenidodelatabla"/>
              <w:spacing w:lineRule="auto" w:line="273" w:before="0" w:after="140"/>
              <w:ind w:hanging="0" w:left="0" w:right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Suscripción anual por usuario</w:t>
            </w:r>
            <w:r>
              <w:rPr>
                <w:rFonts w:ascii="Arial" w:hAnsi="Arial"/>
                <w:sz w:val="20"/>
                <w:szCs w:val="20"/>
              </w:rPr>
              <w:t xml:space="preserve"> (Rango estimado: </w:t>
            </w:r>
            <w:r>
              <w:rPr>
                <w:rFonts w:ascii="Arial" w:hAnsi="Arial"/>
                <w:sz w:val="20"/>
                <w:szCs w:val="20"/>
              </w:rPr>
              <w:t xml:space="preserve">de </w:t>
            </w:r>
            <w:r>
              <w:rPr>
                <w:rFonts w:ascii="Arial" w:hAnsi="Arial"/>
                <w:b/>
                <w:bCs/>
                <w:sz w:val="20"/>
                <w:szCs w:val="20"/>
              </w:rPr>
              <w:t>u</w:t>
            </w:r>
            <w:r>
              <w:rPr>
                <w:rFonts w:ascii="Arial" w:hAnsi="Arial"/>
                <w:b/>
                <w:sz w:val="20"/>
                <w:szCs w:val="20"/>
              </w:rPr>
              <w:t>$</w:t>
            </w:r>
            <w:r>
              <w:rPr>
                <w:rFonts w:ascii="Arial" w:hAnsi="Arial"/>
                <w:b/>
                <w:sz w:val="20"/>
                <w:szCs w:val="20"/>
              </w:rPr>
              <w:t xml:space="preserve">s </w:t>
            </w:r>
            <w:r>
              <w:rPr>
                <w:rFonts w:ascii="Arial" w:hAnsi="Arial"/>
                <w:b/>
                <w:sz w:val="20"/>
                <w:szCs w:val="20"/>
              </w:rPr>
              <w:t xml:space="preserve">8.00 a </w:t>
            </w:r>
            <w:r>
              <w:rPr>
                <w:rFonts w:ascii="Arial" w:hAnsi="Arial"/>
                <w:b/>
                <w:sz w:val="20"/>
                <w:szCs w:val="20"/>
              </w:rPr>
              <w:t>u</w:t>
            </w:r>
            <w:r>
              <w:rPr>
                <w:rFonts w:ascii="Arial" w:hAnsi="Arial"/>
                <w:b/>
                <w:sz w:val="20"/>
                <w:szCs w:val="20"/>
              </w:rPr>
              <w:t>$</w:t>
            </w:r>
            <w:r>
              <w:rPr>
                <w:rFonts w:ascii="Arial" w:hAnsi="Arial"/>
                <w:b/>
                <w:sz w:val="20"/>
                <w:szCs w:val="20"/>
              </w:rPr>
              <w:t xml:space="preserve">s </w:t>
            </w:r>
            <w:r>
              <w:rPr>
                <w:rFonts w:ascii="Arial" w:hAnsi="Arial"/>
                <w:b/>
                <w:sz w:val="20"/>
                <w:szCs w:val="20"/>
              </w:rPr>
              <w:t>14.00  /usuario/año</w:t>
            </w:r>
            <w:r>
              <w:rPr>
                <w:rFonts w:ascii="Arial" w:hAnsi="Arial"/>
                <w:sz w:val="20"/>
                <w:szCs w:val="20"/>
              </w:rPr>
              <w:t xml:space="preserve"> según nivel de características </w:t>
            </w:r>
            <w:r>
              <w:rPr>
                <w:rFonts w:ascii="Arial" w:hAnsi="Arial"/>
                <w:i/>
                <w:sz w:val="20"/>
                <w:szCs w:val="20"/>
              </w:rPr>
              <w:t>Standard</w:t>
            </w:r>
            <w:r>
              <w:rPr>
                <w:rFonts w:ascii="Arial" w:hAnsi="Arial"/>
                <w:sz w:val="20"/>
                <w:szCs w:val="20"/>
              </w:rPr>
              <w:t xml:space="preserve"> o </w:t>
            </w:r>
            <w:r>
              <w:rPr>
                <w:rFonts w:ascii="Arial" w:hAnsi="Arial"/>
                <w:i/>
                <w:sz w:val="20"/>
                <w:szCs w:val="20"/>
              </w:rPr>
              <w:t>Pro</w:t>
            </w:r>
            <w:r>
              <w:rPr>
                <w:rFonts w:ascii="Arial" w:hAnsi="Arial"/>
                <w:sz w:val="20"/>
                <w:szCs w:val="20"/>
              </w:rPr>
              <w:t>).</w:t>
            </w:r>
          </w:p>
        </w:tc>
      </w:tr>
      <w:tr>
        <w:trPr/>
        <w:tc>
          <w:tcPr>
            <w:tcW w:w="2134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>
            <w:pPr>
              <w:pStyle w:val="Contenidodelatabla"/>
              <w:spacing w:lineRule="auto" w:line="273" w:before="0" w:after="140"/>
              <w:ind w:hanging="0" w:left="0" w:right="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Costo Anual (500 cuentas)</w:t>
            </w:r>
          </w:p>
        </w:tc>
        <w:tc>
          <w:tcPr>
            <w:tcW w:w="2730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>
            <w:pPr>
              <w:pStyle w:val="Contenidodelatabla"/>
              <w:spacing w:lineRule="auto" w:line="273" w:before="0" w:after="140"/>
              <w:ind w:hanging="0" w:left="0" w:right="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$0 USD</w:t>
            </w:r>
          </w:p>
        </w:tc>
        <w:tc>
          <w:tcPr>
            <w:tcW w:w="4496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>
            <w:pPr>
              <w:pStyle w:val="Contenidodelatabla"/>
              <w:spacing w:lineRule="auto" w:line="273" w:before="0" w:after="140"/>
              <w:ind w:hanging="0" w:left="0" w:right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Entre u</w:t>
            </w:r>
            <w:r>
              <w:rPr>
                <w:rFonts w:ascii="Arial" w:hAnsi="Arial"/>
                <w:b/>
                <w:sz w:val="20"/>
                <w:szCs w:val="20"/>
              </w:rPr>
              <w:t>$</w:t>
            </w:r>
            <w:r>
              <w:rPr>
                <w:rFonts w:ascii="Arial" w:hAnsi="Arial"/>
                <w:b/>
                <w:sz w:val="20"/>
                <w:szCs w:val="20"/>
              </w:rPr>
              <w:t xml:space="preserve">s </w:t>
            </w:r>
            <w:r>
              <w:rPr>
                <w:rFonts w:ascii="Arial" w:hAnsi="Arial"/>
                <w:b/>
                <w:sz w:val="20"/>
                <w:szCs w:val="20"/>
              </w:rPr>
              <w:t xml:space="preserve">4,000 USD – </w:t>
            </w:r>
            <w:r>
              <w:rPr>
                <w:rFonts w:ascii="Arial" w:hAnsi="Arial"/>
                <w:b/>
                <w:sz w:val="20"/>
                <w:szCs w:val="20"/>
              </w:rPr>
              <w:t>u</w:t>
            </w:r>
            <w:r>
              <w:rPr>
                <w:rFonts w:ascii="Arial" w:hAnsi="Arial"/>
                <w:b/>
                <w:sz w:val="20"/>
                <w:szCs w:val="20"/>
              </w:rPr>
              <w:t>$</w:t>
            </w:r>
            <w:r>
              <w:rPr>
                <w:rFonts w:ascii="Arial" w:hAnsi="Arial"/>
                <w:b/>
                <w:sz w:val="20"/>
                <w:szCs w:val="20"/>
              </w:rPr>
              <w:t xml:space="preserve">s </w:t>
            </w:r>
            <w:r>
              <w:rPr>
                <w:rFonts w:ascii="Arial" w:hAnsi="Arial"/>
                <w:b/>
                <w:sz w:val="20"/>
                <w:szCs w:val="20"/>
              </w:rPr>
              <w:t>7,000  / año</w:t>
            </w:r>
            <w:r>
              <w:rPr>
                <w:rFonts w:ascii="Arial" w:hAnsi="Arial"/>
                <w:sz w:val="20"/>
                <w:szCs w:val="20"/>
              </w:rPr>
              <w:t xml:space="preserve"> + IVA.</w:t>
            </w:r>
          </w:p>
        </w:tc>
      </w:tr>
      <w:tr>
        <w:trPr/>
        <w:tc>
          <w:tcPr>
            <w:tcW w:w="2134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>
            <w:pPr>
              <w:pStyle w:val="Contenidodelatabla"/>
              <w:spacing w:lineRule="auto" w:line="273" w:before="0" w:after="140"/>
              <w:ind w:hanging="0" w:left="0" w:right="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Soporte Técnico</w:t>
            </w:r>
          </w:p>
        </w:tc>
        <w:tc>
          <w:tcPr>
            <w:tcW w:w="2730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>
            <w:pPr>
              <w:pStyle w:val="Contenidodelatabla"/>
              <w:spacing w:lineRule="auto" w:line="273" w:before="0" w:after="140"/>
              <w:ind w:hanging="0" w:left="0" w:right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Soporte comunitario y gestión interna por la Unidad Informática.</w:t>
            </w:r>
          </w:p>
        </w:tc>
        <w:tc>
          <w:tcPr>
            <w:tcW w:w="4496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>
            <w:pPr>
              <w:pStyle w:val="Contenidodelatabla"/>
              <w:spacing w:lineRule="auto" w:line="273" w:before="0" w:after="140"/>
              <w:ind w:hanging="0" w:left="0" w:right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Soporte oficial 24/7 de Synacor / Zimbra y a través de </w:t>
            </w:r>
            <w:r>
              <w:rPr>
                <w:rFonts w:ascii="Arial" w:hAnsi="Arial"/>
                <w:i/>
                <w:sz w:val="20"/>
                <w:szCs w:val="20"/>
              </w:rPr>
              <w:t>VAR</w:t>
            </w:r>
            <w:r>
              <w:rPr>
                <w:rFonts w:ascii="Arial" w:hAnsi="Arial"/>
                <w:sz w:val="20"/>
                <w:szCs w:val="20"/>
              </w:rPr>
              <w:t xml:space="preserve"> local (proveedor autorizado).</w:t>
            </w:r>
          </w:p>
        </w:tc>
      </w:tr>
      <w:tr>
        <w:trPr/>
        <w:tc>
          <w:tcPr>
            <w:tcW w:w="2134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>
            <w:pPr>
              <w:pStyle w:val="Contenidodelatabla"/>
              <w:spacing w:lineRule="auto" w:line="273" w:before="0" w:after="140"/>
              <w:ind w:hanging="0" w:left="0" w:right="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Funcionalidades Incluidas</w:t>
            </w:r>
          </w:p>
        </w:tc>
        <w:tc>
          <w:tcPr>
            <w:tcW w:w="2730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>
            <w:pPr>
              <w:pStyle w:val="Contenidodelatabla"/>
              <w:spacing w:lineRule="auto" w:line="273" w:before="0" w:after="0"/>
              <w:ind w:hanging="0" w:left="0" w:right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• </w:t>
            </w:r>
            <w:r>
              <w:rPr>
                <w:rFonts w:ascii="Arial" w:hAnsi="Arial"/>
                <w:sz w:val="20"/>
                <w:szCs w:val="20"/>
              </w:rPr>
              <w:t>Webmail completo, contactos y calendario básico.</w:t>
            </w:r>
          </w:p>
          <w:p>
            <w:pPr>
              <w:pStyle w:val="Contenidodelatabla"/>
              <w:spacing w:lineRule="auto" w:line="273" w:before="0" w:after="140"/>
              <w:ind w:left="0" w:right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Contenidodelatabla"/>
              <w:spacing w:lineRule="auto" w:line="273" w:before="0" w:after="0"/>
              <w:ind w:hanging="0" w:left="0" w:right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• </w:t>
            </w:r>
            <w:r>
              <w:rPr>
                <w:rFonts w:ascii="Arial" w:hAnsi="Arial"/>
                <w:sz w:val="20"/>
                <w:szCs w:val="20"/>
              </w:rPr>
              <w:t>Antispam y Antivirus (SpamAssassin / ClamAV).</w:t>
            </w:r>
          </w:p>
          <w:p>
            <w:pPr>
              <w:pStyle w:val="Contenidodelatabla"/>
              <w:spacing w:lineRule="auto" w:line="273" w:before="0" w:after="140"/>
              <w:ind w:left="0" w:right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Contenidodelatabla"/>
              <w:spacing w:lineRule="auto" w:line="273" w:before="0" w:after="0"/>
              <w:ind w:hanging="0" w:left="0" w:right="0"/>
              <w:rPr>
                <w:rFonts w:eastAsia="Google Sans Text;sans-serif" w:cs="Google Sans Text;sans-serif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• </w:t>
            </w:r>
            <w:r>
              <w:rPr>
                <w:rFonts w:ascii="Arial" w:hAnsi="Arial"/>
                <w:sz w:val="20"/>
                <w:szCs w:val="20"/>
              </w:rPr>
              <w:t>Protocolos IMAP/POP3/SMTP.</w:t>
            </w:r>
          </w:p>
        </w:tc>
        <w:tc>
          <w:tcPr>
            <w:tcW w:w="4496" w:type="dxa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vAlign w:val="center"/>
          </w:tcPr>
          <w:p>
            <w:pPr>
              <w:pStyle w:val="Contenidodelatabla"/>
              <w:spacing w:lineRule="auto" w:line="273" w:before="0" w:after="0"/>
              <w:ind w:hanging="0" w:left="0" w:right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• </w:t>
            </w:r>
            <w:r>
              <w:rPr>
                <w:rFonts w:ascii="Arial" w:hAnsi="Arial"/>
                <w:sz w:val="20"/>
                <w:szCs w:val="20"/>
              </w:rPr>
              <w:t>Todo lo de FOSS.</w:t>
            </w:r>
          </w:p>
          <w:p>
            <w:pPr>
              <w:pStyle w:val="Contenidodelatabla"/>
              <w:spacing w:lineRule="auto" w:line="273" w:before="0" w:after="140"/>
              <w:ind w:left="0" w:right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Contenidodelatabla"/>
              <w:spacing w:lineRule="auto" w:line="273" w:before="0" w:after="140"/>
              <w:ind w:hanging="0" w:left="0" w:right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• </w:t>
            </w:r>
            <w:r>
              <w:rPr>
                <w:rFonts w:ascii="Arial" w:hAnsi="Arial"/>
                <w:b/>
                <w:sz w:val="20"/>
                <w:szCs w:val="20"/>
              </w:rPr>
              <w:t>Módulo de Módulos Pro:</w:t>
            </w:r>
            <w:r>
              <w:rPr>
                <w:rFonts w:ascii="Arial" w:hAnsi="Arial"/>
                <w:sz w:val="20"/>
                <w:szCs w:val="20"/>
              </w:rPr>
              <w:t xml:space="preserve"> Zimbra Connect (Chat/Videoconferencia), Zimbra Drive.</w:t>
            </w:r>
          </w:p>
          <w:p>
            <w:pPr>
              <w:pStyle w:val="Contenidodelatabla"/>
              <w:spacing w:lineRule="auto" w:line="273" w:before="0" w:after="140"/>
              <w:ind w:left="0" w:right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Contenidodelatabla"/>
              <w:spacing w:lineRule="auto" w:line="273" w:before="0" w:after="140"/>
              <w:ind w:hanging="0" w:left="0" w:right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• </w:t>
            </w:r>
            <w:r>
              <w:rPr>
                <w:rFonts w:ascii="Arial" w:hAnsi="Arial"/>
                <w:b/>
                <w:sz w:val="20"/>
                <w:szCs w:val="20"/>
              </w:rPr>
              <w:t>Exchange ActiveSync (EAS):</w:t>
            </w:r>
            <w:r>
              <w:rPr>
                <w:rFonts w:ascii="Arial" w:hAnsi="Arial"/>
                <w:sz w:val="20"/>
                <w:szCs w:val="20"/>
              </w:rPr>
              <w:t xml:space="preserve"> Sincronización nativa en móviles.</w:t>
            </w:r>
          </w:p>
          <w:p>
            <w:pPr>
              <w:pStyle w:val="Contenidodelatabla"/>
              <w:spacing w:lineRule="auto" w:line="273" w:before="0" w:after="140"/>
              <w:ind w:left="0" w:right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Contenidodelatabla"/>
              <w:spacing w:lineRule="auto" w:line="273" w:before="0" w:after="140"/>
              <w:ind w:hanging="0" w:left="0" w:right="0"/>
              <w:rPr>
                <w:rFonts w:ascii="Arial" w:hAnsi="Arial"/>
                <w:sz w:val="20"/>
                <w:szCs w:val="20"/>
              </w:rPr>
            </w:pPr>
            <w:bookmarkStart w:id="0" w:name="p-rc_208a68cc91bca738-564"/>
            <w:bookmarkEnd w:id="0"/>
            <w:r>
              <w:rPr>
                <w:rFonts w:ascii="Arial" w:hAnsi="Arial"/>
                <w:sz w:val="20"/>
                <w:szCs w:val="20"/>
              </w:rPr>
              <w:t xml:space="preserve">• </w:t>
            </w:r>
            <w:r>
              <w:rPr>
                <w:rFonts w:ascii="Arial" w:hAnsi="Arial"/>
                <w:b/>
                <w:sz w:val="20"/>
                <w:szCs w:val="20"/>
              </w:rPr>
              <w:t>2FA / OTP nativo integrado</w:t>
            </w:r>
            <w:r>
              <w:rPr>
                <w:rFonts w:ascii="Arial" w:hAnsi="Arial"/>
                <w:sz w:val="20"/>
                <w:szCs w:val="20"/>
              </w:rPr>
              <w:t xml:space="preserve">. </w:t>
            </w:r>
          </w:p>
          <w:p>
            <w:pPr>
              <w:pStyle w:val="Contenidodelatabla"/>
              <w:spacing w:lineRule="auto" w:line="273" w:before="0" w:after="140"/>
              <w:ind w:left="0" w:right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Contenidodelatabla"/>
              <w:spacing w:lineRule="auto" w:line="273" w:before="0" w:after="0"/>
              <w:ind w:hanging="0" w:left="0" w:right="0"/>
              <w:rPr>
                <w:rFonts w:eastAsia="Google Sans Text;sans-serif" w:cs="Google Sans Text;sans-serif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• </w:t>
            </w:r>
            <w:r>
              <w:rPr>
                <w:rFonts w:ascii="Arial" w:hAnsi="Arial"/>
                <w:sz w:val="20"/>
                <w:szCs w:val="20"/>
              </w:rPr>
              <w:t>Real-time Backup / Disaster Recovery.</w:t>
            </w:r>
          </w:p>
        </w:tc>
      </w:tr>
    </w:tbl>
    <w:p>
      <w:pPr>
        <w:pStyle w:val="normal1"/>
        <w:pBdr/>
        <w:shd w:val="clear" w:fill="auto"/>
        <w:spacing w:lineRule="auto" w:line="273"/>
        <w:rPr>
          <w:rFonts w:eastAsia="Google Sans" w:cs="Google Sans"/>
          <w:color w:val="1F1F1F"/>
        </w:rPr>
      </w:pPr>
      <w:r>
        <w:rPr>
          <w:rFonts w:ascii="Arial" w:hAnsi="Arial"/>
          <w:sz w:val="20"/>
          <w:szCs w:val="20"/>
        </w:rPr>
      </w:r>
    </w:p>
    <w:p>
      <w:pPr>
        <w:pStyle w:val="normal1"/>
        <w:pBdr/>
        <w:shd w:val="clear" w:fill="auto"/>
        <w:spacing w:lineRule="auto" w:line="273"/>
        <w:rPr>
          <w:rFonts w:eastAsia="Google Sans" w:cs="Google Sans"/>
          <w:color w:val="1F1F1F"/>
        </w:rPr>
      </w:pPr>
      <w:r>
        <w:rPr>
          <w:rFonts w:ascii="Arial" w:hAnsi="Arial"/>
          <w:sz w:val="20"/>
          <w:szCs w:val="20"/>
        </w:rPr>
      </w:r>
    </w:p>
    <w:p>
      <w:pPr>
        <w:pStyle w:val="Heading3"/>
        <w:pBdr/>
        <w:shd w:val="clear" w:fill="auto"/>
        <w:spacing w:lineRule="auto" w:line="273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Presupuesto Estimado de Implementación (Costos Totales)</w:t>
      </w:r>
    </w:p>
    <w:p>
      <w:pPr>
        <w:pStyle w:val="Heading4"/>
        <w:spacing w:lineRule="auto" w:line="273" w:before="0" w:after="140"/>
        <w:ind w:hanging="0" w:left="0" w:right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Opción A: Despliegue sobre Zimbra Open Source (Recomendada por costo)</w:t>
      </w:r>
    </w:p>
    <w:p>
      <w:pPr>
        <w:pStyle w:val="BodyText"/>
        <w:numPr>
          <w:ilvl w:val="0"/>
          <w:numId w:val="0"/>
        </w:numPr>
        <w:pBdr/>
        <w:spacing w:lineRule="auto" w:line="273" w:before="0" w:after="140"/>
        <w:ind w:hanging="0" w:left="0" w:right="0"/>
        <w:rPr>
          <w:rFonts w:ascii="Arial" w:hAnsi="Arial"/>
          <w:b w:val="false"/>
          <w:bCs w:val="false"/>
          <w:sz w:val="20"/>
          <w:szCs w:val="20"/>
        </w:rPr>
      </w:pPr>
      <w:r>
        <w:rPr>
          <w:rFonts w:ascii="Arial" w:hAnsi="Arial"/>
          <w:b w:val="false"/>
          <w:bCs w:val="false"/>
          <w:sz w:val="20"/>
          <w:szCs w:val="20"/>
        </w:rPr>
        <w:t xml:space="preserve">Licenciamiento Zimbra (500 cuentas), </w:t>
      </w:r>
      <w:bookmarkStart w:id="1" w:name="p-rc_208a68cc91bca738-565"/>
      <w:bookmarkEnd w:id="1"/>
      <w:r>
        <w:rPr>
          <w:rFonts w:ascii="Arial" w:hAnsi="Arial"/>
          <w:b w:val="false"/>
          <w:bCs w:val="false"/>
          <w:sz w:val="20"/>
          <w:szCs w:val="20"/>
        </w:rPr>
        <w:t xml:space="preserve">Infraestructura de Servidores (Proxmox local): $ </w:t>
      </w:r>
      <w:r>
        <w:rPr>
          <w:rFonts w:ascii="Arial" w:hAnsi="Arial"/>
          <w:b w:val="false"/>
          <w:bCs w:val="false"/>
          <w:sz w:val="20"/>
          <w:szCs w:val="20"/>
        </w:rPr>
        <w:t>100</w:t>
      </w:r>
      <w:r>
        <w:rPr>
          <w:rFonts w:ascii="Arial" w:hAnsi="Arial"/>
          <w:b w:val="false"/>
          <w:bCs w:val="false"/>
          <w:sz w:val="20"/>
          <w:szCs w:val="20"/>
        </w:rPr>
        <w:t>0 USD (</w:t>
      </w:r>
      <w:r>
        <w:rPr>
          <w:rFonts w:ascii="Arial" w:hAnsi="Arial"/>
          <w:b w:val="false"/>
          <w:bCs w:val="false"/>
          <w:sz w:val="20"/>
          <w:szCs w:val="20"/>
        </w:rPr>
        <w:t>comprando nuevo servidor para</w:t>
      </w:r>
      <w:r>
        <w:rPr>
          <w:rFonts w:ascii="Arial" w:hAnsi="Arial"/>
          <w:b w:val="false"/>
          <w:bCs w:val="false"/>
          <w:sz w:val="20"/>
          <w:szCs w:val="20"/>
        </w:rPr>
        <w:t xml:space="preserve"> la facultad), </w:t>
      </w:r>
      <w:bookmarkStart w:id="2" w:name="p-rc_208a68cc91bca738-566"/>
      <w:bookmarkEnd w:id="2"/>
      <w:r>
        <w:rPr>
          <w:rFonts w:ascii="Arial" w:hAnsi="Arial"/>
          <w:b w:val="false"/>
          <w:bCs w:val="false"/>
          <w:sz w:val="20"/>
          <w:szCs w:val="20"/>
        </w:rPr>
        <w:t>Implementación y Migración: Executada por el equipo interno de la Unidad Informática (horas hombre incluidas dentro de las tareas planificadas).</w:t>
      </w:r>
    </w:p>
    <w:p>
      <w:pPr>
        <w:pStyle w:val="BodyText"/>
        <w:numPr>
          <w:ilvl w:val="0"/>
          <w:numId w:val="0"/>
        </w:numPr>
        <w:pBdr/>
        <w:spacing w:lineRule="auto" w:line="273" w:before="0" w:after="140"/>
        <w:ind w:hanging="0" w:left="0" w:right="0"/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Costo Total Estimado: </w:t>
      </w:r>
      <w:r>
        <w:rPr>
          <w:rFonts w:ascii="Arial" w:hAnsi="Arial"/>
          <w:b/>
          <w:sz w:val="20"/>
          <w:szCs w:val="20"/>
        </w:rPr>
        <w:t>u</w:t>
      </w:r>
      <w:r>
        <w:rPr>
          <w:rFonts w:ascii="Arial" w:hAnsi="Arial"/>
          <w:b/>
          <w:sz w:val="20"/>
          <w:szCs w:val="20"/>
        </w:rPr>
        <w:t>$</w:t>
      </w:r>
      <w:r>
        <w:rPr>
          <w:rFonts w:ascii="Arial" w:hAnsi="Arial"/>
          <w:b/>
          <w:sz w:val="20"/>
          <w:szCs w:val="20"/>
        </w:rPr>
        <w:t>s 1.000</w:t>
      </w:r>
      <w:r>
        <w:rPr>
          <w:rFonts w:ascii="Arial" w:hAnsi="Arial"/>
          <w:b/>
          <w:sz w:val="20"/>
          <w:szCs w:val="20"/>
        </w:rPr>
        <w:t xml:space="preserve"> </w:t>
      </w:r>
      <w:r>
        <w:rPr>
          <w:rFonts w:ascii="Arial" w:hAnsi="Arial"/>
          <w:b/>
          <w:sz w:val="20"/>
          <w:szCs w:val="20"/>
        </w:rPr>
        <w:t xml:space="preserve">el primer año luego u$s 0 </w:t>
      </w:r>
      <w:r>
        <w:rPr>
          <w:rFonts w:ascii="Arial" w:hAnsi="Arial"/>
          <w:b/>
          <w:sz w:val="20"/>
          <w:szCs w:val="20"/>
        </w:rPr>
        <w:t>/ año.</w:t>
      </w:r>
    </w:p>
    <w:p>
      <w:pPr>
        <w:pStyle w:val="Heading4"/>
        <w:spacing w:lineRule="auto" w:line="273" w:before="0" w:after="140"/>
        <w:ind w:hanging="0" w:left="0" w:right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Opción B: Despliegue sobre Zimbra Network Edition (Suscripción Comercial)</w:t>
      </w:r>
    </w:p>
    <w:p>
      <w:pPr>
        <w:pStyle w:val="BodyText"/>
        <w:numPr>
          <w:ilvl w:val="0"/>
          <w:numId w:val="0"/>
        </w:numPr>
        <w:pBdr/>
        <w:spacing w:lineRule="auto" w:line="273" w:before="0" w:after="140"/>
        <w:ind w:hanging="0" w:left="0" w:right="0"/>
        <w:rPr>
          <w:rFonts w:ascii="Arial" w:hAnsi="Arial"/>
          <w:sz w:val="20"/>
          <w:szCs w:val="20"/>
        </w:rPr>
      </w:pPr>
      <w:r>
        <w:rPr>
          <w:rFonts w:ascii="Arial" w:hAnsi="Arial"/>
          <w:b w:val="false"/>
          <w:bCs w:val="false"/>
          <w:sz w:val="20"/>
          <w:szCs w:val="20"/>
        </w:rPr>
        <w:t xml:space="preserve">Licenciamiento Zimbra (500 cuentas) </w:t>
      </w:r>
      <w:r>
        <w:rPr>
          <w:rFonts w:ascii="Arial" w:hAnsi="Arial"/>
          <w:b w:val="false"/>
          <w:bCs w:val="false"/>
          <w:sz w:val="20"/>
          <w:szCs w:val="20"/>
        </w:rPr>
        <w:t xml:space="preserve">u$s 4000 a 7000 </w:t>
      </w:r>
      <w:r>
        <w:rPr>
          <w:rFonts w:ascii="Arial" w:hAnsi="Arial"/>
          <w:b w:val="false"/>
          <w:bCs w:val="false"/>
          <w:sz w:val="20"/>
          <w:szCs w:val="20"/>
        </w:rPr>
        <w:t xml:space="preserve">, </w:t>
      </w:r>
      <w:bookmarkStart w:id="3" w:name="p-rc_208a68cc91bca738-565_Copia_1"/>
      <w:bookmarkEnd w:id="3"/>
      <w:r>
        <w:rPr>
          <w:rFonts w:ascii="Arial" w:hAnsi="Arial"/>
          <w:b w:val="false"/>
          <w:bCs w:val="false"/>
          <w:sz w:val="20"/>
          <w:szCs w:val="20"/>
        </w:rPr>
        <w:t xml:space="preserve">Infraestructura de Servidores (Proxmox local): $ </w:t>
      </w:r>
      <w:r>
        <w:rPr>
          <w:rFonts w:ascii="Arial" w:hAnsi="Arial"/>
          <w:b w:val="false"/>
          <w:bCs w:val="false"/>
          <w:sz w:val="20"/>
          <w:szCs w:val="20"/>
        </w:rPr>
        <w:t>100</w:t>
      </w:r>
      <w:r>
        <w:rPr>
          <w:rFonts w:ascii="Arial" w:hAnsi="Arial"/>
          <w:b w:val="false"/>
          <w:bCs w:val="false"/>
          <w:sz w:val="20"/>
          <w:szCs w:val="20"/>
        </w:rPr>
        <w:t>0 USD (</w:t>
      </w:r>
      <w:r>
        <w:rPr>
          <w:rFonts w:ascii="Arial" w:hAnsi="Arial"/>
          <w:b w:val="false"/>
          <w:bCs w:val="false"/>
          <w:sz w:val="20"/>
          <w:szCs w:val="20"/>
        </w:rPr>
        <w:t>comprando nuevo servidor para</w:t>
      </w:r>
      <w:r>
        <w:rPr>
          <w:rFonts w:ascii="Arial" w:hAnsi="Arial"/>
          <w:b w:val="false"/>
          <w:bCs w:val="false"/>
          <w:sz w:val="20"/>
          <w:szCs w:val="20"/>
        </w:rPr>
        <w:t xml:space="preserve"> la facultad), </w:t>
      </w:r>
      <w:bookmarkStart w:id="4" w:name="p-rc_208a68cc91bca738-566_Copia_1"/>
      <w:bookmarkEnd w:id="4"/>
      <w:r>
        <w:rPr>
          <w:rFonts w:ascii="Arial" w:hAnsi="Arial"/>
          <w:b w:val="false"/>
          <w:bCs w:val="false"/>
          <w:sz w:val="20"/>
          <w:szCs w:val="20"/>
        </w:rPr>
        <w:t>Implementación y Migración: Executada por el equipo interno de la Unidad Informática (horas hombre incluidas dentro de las tareas planificadas).</w:t>
      </w:r>
    </w:p>
    <w:p>
      <w:pPr>
        <w:pStyle w:val="BodyText"/>
        <w:numPr>
          <w:ilvl w:val="0"/>
          <w:numId w:val="0"/>
        </w:numPr>
        <w:pBdr/>
        <w:spacing w:lineRule="auto" w:line="273" w:before="0" w:after="140"/>
        <w:ind w:hanging="0" w:left="0" w:right="0"/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Costo Total Estimado: </w:t>
      </w:r>
      <w:r>
        <w:rPr>
          <w:rFonts w:ascii="Arial" w:hAnsi="Arial"/>
          <w:b/>
          <w:sz w:val="20"/>
          <w:szCs w:val="20"/>
        </w:rPr>
        <w:t>u</w:t>
      </w:r>
      <w:r>
        <w:rPr>
          <w:rFonts w:ascii="Arial" w:hAnsi="Arial"/>
          <w:b/>
          <w:sz w:val="20"/>
          <w:szCs w:val="20"/>
        </w:rPr>
        <w:t>$</w:t>
      </w:r>
      <w:r>
        <w:rPr>
          <w:rFonts w:ascii="Arial" w:hAnsi="Arial"/>
          <w:b/>
          <w:sz w:val="20"/>
          <w:szCs w:val="20"/>
        </w:rPr>
        <w:t>s 5.000</w:t>
      </w:r>
      <w:r>
        <w:rPr>
          <w:rFonts w:ascii="Arial" w:hAnsi="Arial"/>
          <w:b/>
          <w:sz w:val="20"/>
          <w:szCs w:val="20"/>
        </w:rPr>
        <w:t xml:space="preserve">  </w:t>
      </w:r>
      <w:r>
        <w:rPr>
          <w:rFonts w:ascii="Arial" w:hAnsi="Arial"/>
          <w:b/>
          <w:sz w:val="20"/>
          <w:szCs w:val="20"/>
        </w:rPr>
        <w:t xml:space="preserve">a 8.000 el primer año luego entre u$s 4.000 y 7.000 </w:t>
      </w:r>
      <w:r>
        <w:rPr>
          <w:rFonts w:ascii="Arial" w:hAnsi="Arial"/>
          <w:b/>
          <w:sz w:val="20"/>
          <w:szCs w:val="20"/>
        </w:rPr>
        <w:t>/ año.</w:t>
      </w:r>
    </w:p>
    <w:p>
      <w:pPr>
        <w:pStyle w:val="Heading3"/>
        <w:spacing w:lineRule="auto" w:line="273" w:before="0" w:after="140"/>
        <w:ind w:hanging="0" w:left="0" w:right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3. Recomendación Técnica</w:t>
      </w:r>
    </w:p>
    <w:p>
      <w:pPr>
        <w:pStyle w:val="BodyText"/>
        <w:spacing w:lineRule="auto" w:line="273" w:before="0" w:after="140"/>
        <w:ind w:hanging="0" w:left="0" w:right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Para mantener la sustentabilidad económica del proyecto dentro del presupuesto institucional:</w:t>
      </w:r>
    </w:p>
    <w:p>
      <w:pPr>
        <w:pStyle w:val="BodyText"/>
        <w:numPr>
          <w:ilvl w:val="0"/>
          <w:numId w:val="0"/>
        </w:numPr>
        <w:pBdr/>
        <w:spacing w:lineRule="auto" w:line="273" w:before="0" w:after="140"/>
        <w:ind w:hanging="0" w:left="0" w:right="0"/>
        <w:rPr>
          <w:rFonts w:ascii="Arial" w:hAnsi="Arial"/>
          <w:sz w:val="20"/>
          <w:szCs w:val="20"/>
        </w:rPr>
      </w:pPr>
      <w:bookmarkStart w:id="5" w:name="p-rc_208a68cc91bca738-568"/>
      <w:bookmarkEnd w:id="5"/>
      <w:r>
        <w:rPr>
          <w:rFonts w:ascii="Arial" w:hAnsi="Arial"/>
          <w:b/>
          <w:sz w:val="20"/>
          <w:szCs w:val="20"/>
        </w:rPr>
        <w:t>Adopción de Zimbra Open Source Edition:</w:t>
      </w:r>
      <w:r>
        <w:rPr>
          <w:rFonts w:ascii="Arial" w:hAnsi="Arial"/>
          <w:sz w:val="20"/>
          <w:szCs w:val="20"/>
        </w:rPr>
        <w:t xml:space="preserve"> Se recomienda implementar la versión </w:t>
      </w:r>
      <w:r>
        <w:rPr>
          <w:rFonts w:ascii="Arial" w:hAnsi="Arial"/>
          <w:b w:val="false"/>
          <w:bCs w:val="false"/>
          <w:sz w:val="20"/>
          <w:szCs w:val="20"/>
        </w:rPr>
        <w:t>FOSS</w:t>
      </w:r>
      <w:r>
        <w:rPr>
          <w:rFonts w:ascii="Arial" w:hAnsi="Arial"/>
          <w:sz w:val="20"/>
          <w:szCs w:val="20"/>
        </w:rPr>
        <w:t xml:space="preserve">, aprovechando la infraestructura de servidores locales Debian/Proxmox y la experiencia interna para la configuración del filtro AntiSpam y 2FA mediante módulos complementarios libres </w:t>
      </w:r>
      <w:r>
        <w:rPr>
          <w:rFonts w:ascii="Arial" w:hAnsi="Arial"/>
          <w:sz w:val="20"/>
          <w:szCs w:val="20"/>
        </w:rPr>
        <w:t>para evaluar y probar y luego migrar a una plataforma más completa (comprando las licencias necesarias).</w:t>
      </w:r>
    </w:p>
    <w:p>
      <w:pPr>
        <w:pStyle w:val="BodyText"/>
        <w:numPr>
          <w:ilvl w:val="0"/>
          <w:numId w:val="0"/>
        </w:numPr>
        <w:pBdr/>
        <w:spacing w:lineRule="auto" w:line="273" w:before="0" w:after="140"/>
        <w:ind w:hanging="0" w:left="0" w:right="0"/>
        <w:rPr>
          <w:rFonts w:ascii="Arial" w:hAnsi="Arial"/>
          <w:sz w:val="20"/>
          <w:szCs w:val="20"/>
        </w:rPr>
      </w:pPr>
      <w:bookmarkStart w:id="6" w:name="p-rc_208a68cc91bca738-569"/>
      <w:bookmarkEnd w:id="6"/>
      <w:r>
        <w:rPr>
          <w:rFonts w:ascii="Arial" w:hAnsi="Arial"/>
          <w:b/>
          <w:sz w:val="20"/>
          <w:szCs w:val="20"/>
        </w:rPr>
        <w:t>Evaluación de Licencia Network:</w:t>
      </w:r>
      <w:r>
        <w:rPr>
          <w:rFonts w:ascii="Arial" w:hAnsi="Arial"/>
          <w:sz w:val="20"/>
          <w:szCs w:val="20"/>
        </w:rPr>
        <w:t xml:space="preserve"> En caso de que Decanato o los usuarios requieran obligatoriamente la sincronización de calendario/contactos en tiempo real mediante </w:t>
      </w:r>
      <w:r>
        <w:rPr>
          <w:rFonts w:ascii="Arial" w:hAnsi="Arial"/>
          <w:i/>
          <w:sz w:val="20"/>
          <w:szCs w:val="20"/>
        </w:rPr>
        <w:t>Exchange ActiveSync</w:t>
      </w:r>
      <w:r>
        <w:rPr>
          <w:rFonts w:ascii="Arial" w:hAnsi="Arial"/>
          <w:sz w:val="20"/>
          <w:szCs w:val="20"/>
        </w:rPr>
        <w:t xml:space="preserve"> nativo para teléfonos móviles o respaldo en tiempo real, se deberá tramitar la cotización formal de </w:t>
      </w:r>
      <w:r>
        <w:rPr>
          <w:rFonts w:ascii="Arial" w:hAnsi="Arial"/>
          <w:b/>
          <w:sz w:val="20"/>
          <w:szCs w:val="20"/>
        </w:rPr>
        <w:t>500 licencias Zimbra Network Edition</w:t>
      </w:r>
      <w:r>
        <w:rPr>
          <w:rFonts w:ascii="Arial" w:hAnsi="Arial"/>
          <w:sz w:val="20"/>
          <w:szCs w:val="20"/>
        </w:rPr>
        <w:t xml:space="preserve"> a través del procedimiento de Compras Fenf con un distribuidor local (</w:t>
      </w:r>
      <w:r>
        <w:rPr>
          <w:rFonts w:ascii="Arial" w:hAnsi="Arial"/>
          <w:i/>
          <w:sz w:val="20"/>
          <w:szCs w:val="20"/>
        </w:rPr>
        <w:t>Partner de Synacor/Zimbra</w:t>
      </w:r>
      <w:r>
        <w:rPr>
          <w:rFonts w:ascii="Arial" w:hAnsi="Arial"/>
          <w:sz w:val="20"/>
          <w:szCs w:val="20"/>
        </w:rPr>
        <w:t xml:space="preserve">). </w:t>
      </w:r>
    </w:p>
    <w:p>
      <w:pPr>
        <w:pStyle w:val="normal1"/>
        <w:pBdr/>
        <w:shd w:val="clear" w:fill="auto"/>
        <w:spacing w:lineRule="auto" w:line="273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normal1"/>
        <w:pBdr/>
        <w:shd w:val="clear" w:fill="auto"/>
        <w:spacing w:lineRule="auto" w:line="273"/>
        <w:rPr>
          <w:rFonts w:eastAsia="Google Sans" w:cs="Google Sans"/>
          <w:color w:val="1F1F1F"/>
        </w:rPr>
      </w:pPr>
      <w:r>
        <w:rPr>
          <w:rFonts w:ascii="Arial" w:hAnsi="Arial"/>
          <w:sz w:val="20"/>
          <w:szCs w:val="20"/>
        </w:rPr>
      </w:r>
    </w:p>
    <w:p>
      <w:pPr>
        <w:pStyle w:val="normal1"/>
        <w:pBdr/>
        <w:shd w:val="clear" w:fill="auto"/>
        <w:spacing w:lineRule="auto" w:line="273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normal1"/>
        <w:pBdr/>
        <w:shd w:val="clear" w:fill="auto"/>
        <w:spacing w:lineRule="auto" w:line="273"/>
        <w:rPr>
          <w:rFonts w:eastAsia="Google Sans" w:cs="Google Sans"/>
          <w:color w:val="1F1F1F"/>
        </w:rPr>
      </w:pPr>
      <w:r>
        <w:rPr>
          <w:rFonts w:ascii="Arial" w:hAnsi="Arial"/>
          <w:sz w:val="20"/>
          <w:szCs w:val="20"/>
        </w:rPr>
      </w:r>
    </w:p>
    <w:p>
      <w:pPr>
        <w:pStyle w:val="normal1"/>
        <w:pBdr/>
        <w:shd w:val="clear" w:fill="auto"/>
        <w:spacing w:lineRule="auto" w:line="273"/>
        <w:rPr>
          <w:rFonts w:eastAsia="Google Sans" w:cs="Google Sans"/>
          <w:color w:val="1F1F1F"/>
        </w:rPr>
      </w:pPr>
      <w:r>
        <w:rPr>
          <w:rFonts w:ascii="Arial" w:hAnsi="Arial"/>
          <w:sz w:val="20"/>
          <w:szCs w:val="20"/>
        </w:rPr>
      </w:r>
    </w:p>
    <w:p>
      <w:pPr>
        <w:pStyle w:val="normal1"/>
        <w:pBdr/>
        <w:shd w:val="clear" w:fill="auto"/>
        <w:spacing w:lineRule="auto" w:line="273"/>
        <w:rPr>
          <w:rFonts w:ascii="Arial" w:hAnsi="Arial"/>
          <w:sz w:val="20"/>
          <w:szCs w:val="20"/>
        </w:rPr>
      </w:pPr>
      <w:r>
        <w:rPr>
          <w:rFonts w:eastAsia="Google Sans" w:cs="Google Sans" w:ascii="Arial" w:hAnsi="Arial"/>
          <w:b/>
          <w:bCs/>
          <w:color w:val="1F1F1F"/>
          <w:sz w:val="20"/>
          <w:szCs w:val="20"/>
        </w:rPr>
        <w:t>Rafael Álvarez</w:t>
      </w:r>
    </w:p>
    <w:p>
      <w:pPr>
        <w:pStyle w:val="normal1"/>
        <w:pBdr/>
        <w:shd w:val="clear" w:fill="auto"/>
        <w:spacing w:lineRule="auto" w:line="273"/>
        <w:rPr>
          <w:rFonts w:ascii="Arial" w:hAnsi="Arial"/>
          <w:sz w:val="20"/>
          <w:szCs w:val="20"/>
        </w:rPr>
      </w:pPr>
      <w:r>
        <w:rPr>
          <w:rFonts w:eastAsia="Google Sans" w:cs="Google Sans" w:ascii="Arial" w:hAnsi="Arial"/>
          <w:color w:val="1F1F1F"/>
          <w:sz w:val="20"/>
          <w:szCs w:val="20"/>
        </w:rPr>
        <w:t>Unidad Informática — Facultad de Enfermería</w:t>
      </w:r>
    </w:p>
    <w:p>
      <w:pPr>
        <w:pStyle w:val="normal1"/>
        <w:pBdr/>
        <w:shd w:val="clear" w:fill="auto"/>
        <w:spacing w:lineRule="auto" w:line="273"/>
        <w:rPr>
          <w:rFonts w:ascii="Arial" w:hAnsi="Arial"/>
          <w:sz w:val="20"/>
          <w:szCs w:val="20"/>
        </w:rPr>
      </w:pPr>
      <w:r>
        <w:rPr>
          <w:rFonts w:eastAsia="Google Sans" w:cs="Google Sans" w:ascii="Arial" w:hAnsi="Arial"/>
          <w:color w:val="1F1F1F"/>
          <w:sz w:val="20"/>
          <w:szCs w:val="20"/>
        </w:rPr>
        <w:t>Universidad de la República</w:t>
      </w:r>
    </w:p>
    <w:sectPr>
      <w:type w:val="nextPage"/>
      <w:pgSz w:w="12240" w:h="15840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</w:font>
  <w:font w:name="Arial">
    <w:charset w:val="00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Liberation Serif">
    <w:altName w:val="Times New Roman"/>
    <w:charset w:val="01"/>
    <w:family w:val="roman"/>
    <w:pitch w:val="variable"/>
    <w:embedRegular r:id="rId9" w:fontKey="{09014A78-CABC-4EF0-12AC-5CD89AEFDE09}"/>
    <w:embedBold r:id="rId10" w:fontKey="{0A014A78-CABC-4EF0-12AC-5CD89AEFDE0A}"/>
    <w:embedItalic r:id="rId11" w:fontKey="{0B014A78-CABC-4EF0-12AC-5CD89AEFDE0B}"/>
    <w:embedBoldItalic r:id="rId12" w:fontKey="{0C014A78-CABC-4EF0-12AC-5CD89AEFDE0C}"/>
  </w:font>
  <w:font w:name="Arial">
    <w:charset w:val="01"/>
    <w:family w:val="roman"/>
    <w:pitch w:val="variable"/>
    <w:embedRegular r:id="rId13" w:fontKey="{0D014A78-CABC-4EF0-12AC-5CD89AEFDE0D}"/>
    <w:embedBold r:id="rId14" w:fontKey="{0E014A78-CABC-4EF0-12AC-5CD89AEFDE0E}"/>
    <w:embedItalic r:id="rId15" w:fontKey="{0F014A78-CABC-4EF0-12AC-5CD89AEFDE0F}"/>
    <w:embedBoldItalic r:id="rId16" w:fontKey="{10014A78-CABC-4EF0-12AC-5CD89AEFDE10}"/>
  </w:font>
  <w:font w:name="OpenSymbol">
    <w:altName w:val="Arial Unicode MS"/>
    <w:charset w:val="02"/>
    <w:family w:val="auto"/>
    <w:pitch w:val="default"/>
    <w:embedRegular r:id="rId17" w:fontKey="{11014A78-CABC-4EF0-12AC-5CD89AEFDE11}"/>
  </w:font>
  <w:font w:name="Liberation Sans">
    <w:altName w:val="Arial"/>
    <w:charset w:val="01"/>
    <w:family w:val="swiss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Georgia">
    <w:charset w:val="01"/>
    <w:family w:val="roman"/>
    <w:pitch w:val="variable"/>
    <w:embedRegular r:id="rId22" w:fontKey="{16014A78-CABC-4EF0-12AC-5CD89AEFDE16}"/>
    <w:embedBold r:id="rId23" w:fontKey="{17014A78-CABC-4EF0-12AC-5CD89AEFDE17}"/>
    <w:embedItalic r:id="rId24" w:fontKey="{18014A78-CABC-4EF0-12AC-5CD89AEFDE18}"/>
    <w:embedBoldItalic r:id="rId25" w:fontKey="{19014A78-CABC-4EF0-12AC-5CD89AEFDE19}"/>
  </w:font>
  <w:font w:name="Arial">
    <w:charset w:val="01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●"/>
      <w:lvlJc w:val="left"/>
      <w:pPr>
        <w:tabs>
          <w:tab w:val="num" w:pos="0"/>
        </w:tabs>
        <w:ind w:left="59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3">
      <w:start w:val="1"/>
      <w:numFmt w:val="bullet"/>
      <w:lvlText w:val="■"/>
      <w:lvlJc w:val="left"/>
      <w:pPr>
        <w:tabs>
          <w:tab w:val="num" w:pos="0"/>
        </w:tabs>
        <w:ind w:left="288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4">
      <w:start w:val="1"/>
      <w:numFmt w:val="bullet"/>
      <w:lvlText w:val="■"/>
      <w:lvlJc w:val="left"/>
      <w:pPr>
        <w:tabs>
          <w:tab w:val="num" w:pos="0"/>
        </w:tabs>
        <w:ind w:left="360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6">
      <w:start w:val="1"/>
      <w:numFmt w:val="bullet"/>
      <w:lvlText w:val="■"/>
      <w:lvlJc w:val="left"/>
      <w:pPr>
        <w:tabs>
          <w:tab w:val="num" w:pos="0"/>
        </w:tabs>
        <w:ind w:left="504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7">
      <w:start w:val="1"/>
      <w:numFmt w:val="bullet"/>
      <w:lvlText w:val="■"/>
      <w:lvlJc w:val="left"/>
      <w:pPr>
        <w:tabs>
          <w:tab w:val="num" w:pos="0"/>
        </w:tabs>
        <w:ind w:left="576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</w:abstractNum>
  <w:abstractNum w:abstractNumId="2">
    <w:lvl w:ilvl="0">
      <w:start w:val="1"/>
      <w:numFmt w:val="bullet"/>
      <w:lvlText w:val="●"/>
      <w:lvlJc w:val="left"/>
      <w:pPr>
        <w:tabs>
          <w:tab w:val="num" w:pos="0"/>
        </w:tabs>
        <w:ind w:left="59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64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3">
      <w:start w:val="1"/>
      <w:numFmt w:val="bullet"/>
      <w:lvlText w:val="■"/>
      <w:lvlJc w:val="left"/>
      <w:pPr>
        <w:tabs>
          <w:tab w:val="num" w:pos="0"/>
        </w:tabs>
        <w:ind w:left="288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4">
      <w:start w:val="1"/>
      <w:numFmt w:val="bullet"/>
      <w:lvlText w:val="■"/>
      <w:lvlJc w:val="left"/>
      <w:pPr>
        <w:tabs>
          <w:tab w:val="num" w:pos="0"/>
        </w:tabs>
        <w:ind w:left="360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6">
      <w:start w:val="1"/>
      <w:numFmt w:val="bullet"/>
      <w:lvlText w:val="■"/>
      <w:lvlJc w:val="left"/>
      <w:pPr>
        <w:tabs>
          <w:tab w:val="num" w:pos="0"/>
        </w:tabs>
        <w:ind w:left="504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7">
      <w:start w:val="1"/>
      <w:numFmt w:val="bullet"/>
      <w:lvlText w:val="■"/>
      <w:lvlJc w:val="left"/>
      <w:pPr>
        <w:tabs>
          <w:tab w:val="num" w:pos="0"/>
        </w:tabs>
        <w:ind w:left="576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</w:abstractNum>
  <w:abstractNum w:abstractNumId="3">
    <w:lvl w:ilvl="0">
      <w:start w:val="1"/>
      <w:numFmt w:val="bullet"/>
      <w:lvlText w:val="●"/>
      <w:lvlJc w:val="left"/>
      <w:pPr>
        <w:tabs>
          <w:tab w:val="num" w:pos="0"/>
        </w:tabs>
        <w:ind w:left="59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64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3">
      <w:start w:val="1"/>
      <w:numFmt w:val="bullet"/>
      <w:lvlText w:val="■"/>
      <w:lvlJc w:val="left"/>
      <w:pPr>
        <w:tabs>
          <w:tab w:val="num" w:pos="0"/>
        </w:tabs>
        <w:ind w:left="288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4">
      <w:start w:val="1"/>
      <w:numFmt w:val="bullet"/>
      <w:lvlText w:val="■"/>
      <w:lvlJc w:val="left"/>
      <w:pPr>
        <w:tabs>
          <w:tab w:val="num" w:pos="0"/>
        </w:tabs>
        <w:ind w:left="360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6">
      <w:start w:val="1"/>
      <w:numFmt w:val="bullet"/>
      <w:lvlText w:val="■"/>
      <w:lvlJc w:val="left"/>
      <w:pPr>
        <w:tabs>
          <w:tab w:val="num" w:pos="0"/>
        </w:tabs>
        <w:ind w:left="504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7">
      <w:start w:val="1"/>
      <w:numFmt w:val="bullet"/>
      <w:lvlText w:val="■"/>
      <w:lvlJc w:val="left"/>
      <w:pPr>
        <w:tabs>
          <w:tab w:val="num" w:pos="0"/>
        </w:tabs>
        <w:ind w:left="576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rFonts w:ascii="Arial" w:hAnsi="Arial" w:eastAsia="Arial" w:cs="Arial"/>
        <w:color w:val="000000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3">
      <w:start w:val="1"/>
      <w:numFmt w:val="bullet"/>
      <w:lvlText w:val="■"/>
      <w:lvlJc w:val="left"/>
      <w:pPr>
        <w:tabs>
          <w:tab w:val="num" w:pos="0"/>
        </w:tabs>
        <w:ind w:left="288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4">
      <w:start w:val="1"/>
      <w:numFmt w:val="bullet"/>
      <w:lvlText w:val="■"/>
      <w:lvlJc w:val="left"/>
      <w:pPr>
        <w:tabs>
          <w:tab w:val="num" w:pos="0"/>
        </w:tabs>
        <w:ind w:left="360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6">
      <w:start w:val="1"/>
      <w:numFmt w:val="bullet"/>
      <w:lvlText w:val="■"/>
      <w:lvlJc w:val="left"/>
      <w:pPr>
        <w:tabs>
          <w:tab w:val="num" w:pos="0"/>
        </w:tabs>
        <w:ind w:left="504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7">
      <w:start w:val="1"/>
      <w:numFmt w:val="bullet"/>
      <w:lvlText w:val="■"/>
      <w:lvlJc w:val="left"/>
      <w:pPr>
        <w:tabs>
          <w:tab w:val="num" w:pos="0"/>
        </w:tabs>
        <w:ind w:left="576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rFonts w:ascii="Arial" w:hAnsi="Arial" w:eastAsia="Arial" w:cs="Arial"/>
        <w:color w:val="000000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3">
      <w:start w:val="1"/>
      <w:numFmt w:val="bullet"/>
      <w:lvlText w:val="■"/>
      <w:lvlJc w:val="left"/>
      <w:pPr>
        <w:tabs>
          <w:tab w:val="num" w:pos="0"/>
        </w:tabs>
        <w:ind w:left="288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4">
      <w:start w:val="1"/>
      <w:numFmt w:val="bullet"/>
      <w:lvlText w:val="■"/>
      <w:lvlJc w:val="left"/>
      <w:pPr>
        <w:tabs>
          <w:tab w:val="num" w:pos="0"/>
        </w:tabs>
        <w:ind w:left="360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6">
      <w:start w:val="1"/>
      <w:numFmt w:val="bullet"/>
      <w:lvlText w:val="■"/>
      <w:lvlJc w:val="left"/>
      <w:pPr>
        <w:tabs>
          <w:tab w:val="num" w:pos="0"/>
        </w:tabs>
        <w:ind w:left="504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7">
      <w:start w:val="1"/>
      <w:numFmt w:val="bullet"/>
      <w:lvlText w:val="■"/>
      <w:lvlJc w:val="left"/>
      <w:pPr>
        <w:tabs>
          <w:tab w:val="num" w:pos="0"/>
        </w:tabs>
        <w:ind w:left="576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rFonts w:ascii="Arial" w:hAnsi="Arial" w:eastAsia="Arial" w:cs="Arial"/>
        <w:color w:val="000000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3">
      <w:start w:val="1"/>
      <w:numFmt w:val="bullet"/>
      <w:lvlText w:val="■"/>
      <w:lvlJc w:val="left"/>
      <w:pPr>
        <w:tabs>
          <w:tab w:val="num" w:pos="0"/>
        </w:tabs>
        <w:ind w:left="288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4">
      <w:start w:val="1"/>
      <w:numFmt w:val="bullet"/>
      <w:lvlText w:val="■"/>
      <w:lvlJc w:val="left"/>
      <w:pPr>
        <w:tabs>
          <w:tab w:val="num" w:pos="0"/>
        </w:tabs>
        <w:ind w:left="360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6">
      <w:start w:val="1"/>
      <w:numFmt w:val="bullet"/>
      <w:lvlText w:val="■"/>
      <w:lvlJc w:val="left"/>
      <w:pPr>
        <w:tabs>
          <w:tab w:val="num" w:pos="0"/>
        </w:tabs>
        <w:ind w:left="504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7">
      <w:start w:val="1"/>
      <w:numFmt w:val="bullet"/>
      <w:lvlText w:val="■"/>
      <w:lvlJc w:val="left"/>
      <w:pPr>
        <w:tabs>
          <w:tab w:val="num" w:pos="0"/>
        </w:tabs>
        <w:ind w:left="576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Arial" w:hAnsi="Arial" w:cs="Arial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b w:val="false"/>
        <w:shd w:fill="auto" w:val="clear"/>
        <w:szCs w:val="22"/>
        <w:iCs w:val="false"/>
        <w:bCs w:val="false"/>
        <w:color w:val="000000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0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s-MX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s-MX" w:eastAsia="zh-CN" w:bidi="hi-IN"/>
    </w:rPr>
  </w:style>
  <w:style w:type="paragraph" w:styleId="Heading1">
    <w:name w:val="Heading 1"/>
    <w:basedOn w:val="normal1"/>
    <w:next w:val="normal1"/>
    <w:qFormat/>
    <w:pPr>
      <w:pBdr/>
      <w:shd w:val="clear" w:fill="auto"/>
      <w:spacing w:lineRule="auto" w:line="240" w:before="240" w:after="240"/>
    </w:pPr>
    <w:rPr>
      <w:b/>
      <w:bCs/>
      <w:i w:val="false"/>
      <w:iCs w:val="false"/>
      <w:sz w:val="48"/>
      <w:szCs w:val="48"/>
    </w:rPr>
  </w:style>
  <w:style w:type="paragraph" w:styleId="Heading2">
    <w:name w:val="Heading 2"/>
    <w:basedOn w:val="normal1"/>
    <w:next w:val="normal1"/>
    <w:qFormat/>
    <w:pPr>
      <w:pBdr/>
      <w:shd w:val="clear" w:fill="auto"/>
      <w:spacing w:lineRule="auto" w:line="240" w:before="225" w:after="225"/>
    </w:pPr>
    <w:rPr>
      <w:b/>
      <w:bCs/>
      <w:i w:val="false"/>
      <w:iCs w:val="false"/>
      <w:sz w:val="36"/>
      <w:szCs w:val="36"/>
    </w:rPr>
  </w:style>
  <w:style w:type="paragraph" w:styleId="Heading3">
    <w:name w:val="Heading 3"/>
    <w:basedOn w:val="normal1"/>
    <w:next w:val="normal1"/>
    <w:qFormat/>
    <w:pPr>
      <w:pBdr/>
      <w:shd w:val="clear" w:fill="auto"/>
      <w:spacing w:lineRule="auto" w:line="240" w:before="240" w:after="240"/>
    </w:pPr>
    <w:rPr>
      <w:b/>
      <w:bCs/>
      <w:i w:val="false"/>
      <w:iCs w:val="false"/>
      <w:sz w:val="28"/>
      <w:szCs w:val="28"/>
    </w:rPr>
  </w:style>
  <w:style w:type="paragraph" w:styleId="Heading4">
    <w:name w:val="Heading 4"/>
    <w:basedOn w:val="normal1"/>
    <w:next w:val="normal1"/>
    <w:qFormat/>
    <w:pPr>
      <w:pBdr/>
      <w:shd w:val="clear" w:fill="auto"/>
      <w:spacing w:lineRule="auto" w:line="240" w:before="255" w:after="255"/>
    </w:pPr>
    <w:rPr>
      <w:b/>
      <w:bCs/>
      <w:i w:val="false"/>
      <w:iCs w:val="false"/>
      <w:sz w:val="24"/>
      <w:szCs w:val="24"/>
    </w:rPr>
  </w:style>
  <w:style w:type="paragraph" w:styleId="Heading5">
    <w:name w:val="Heading 5"/>
    <w:basedOn w:val="normal1"/>
    <w:next w:val="normal1"/>
    <w:qFormat/>
    <w:pPr>
      <w:pBdr/>
      <w:shd w:val="clear" w:fill="auto"/>
      <w:spacing w:lineRule="auto" w:line="240" w:before="255" w:after="255"/>
    </w:pPr>
    <w:rPr>
      <w:b/>
      <w:bCs/>
      <w:i w:val="false"/>
      <w:iCs w:val="false"/>
      <w:sz w:val="18"/>
      <w:szCs w:val="18"/>
    </w:rPr>
  </w:style>
  <w:style w:type="paragraph" w:styleId="Heading6">
    <w:name w:val="Heading 6"/>
    <w:basedOn w:val="normal1"/>
    <w:next w:val="normal1"/>
    <w:qFormat/>
    <w:pPr>
      <w:pBdr/>
      <w:shd w:val="clear" w:fill="auto"/>
      <w:spacing w:lineRule="auto" w:line="240" w:before="360" w:after="360"/>
    </w:pPr>
    <w:rPr>
      <w:b/>
      <w:bCs/>
      <w:i w:val="false"/>
      <w:iCs w:val="false"/>
      <w:sz w:val="16"/>
      <w:szCs w:val="16"/>
    </w:rPr>
  </w:style>
  <w:style w:type="character" w:styleId="Bolos">
    <w:name w:val="Bolos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character" w:styleId="Smbolosdenumeracin">
    <w:name w:val="Símbolos de numeración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  <w:style w:type="paragraph" w:styleId="normal1" w:default="1">
    <w:name w:val="normal1"/>
    <w:qFormat/>
    <w:pPr>
      <w:widowControl w:val="false"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s-MX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Contenidodelatabla">
    <w:name w:val="Contenido de la tabla"/>
    <w:basedOn w:val="Normal"/>
    <w:qFormat/>
    <w:pPr>
      <w:widowControl w:val="false"/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<Relationship Id="rId23" Type="http://schemas.openxmlformats.org/officeDocument/2006/relationships/font" Target="fonts/font23.odttf"/><Relationship Id="rId24" Type="http://schemas.openxmlformats.org/officeDocument/2006/relationships/font" Target="fonts/font24.odttf"/><Relationship Id="rId25" Type="http://schemas.openxmlformats.org/officeDocument/2006/relationships/font" Target="fonts/font25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LibreOffice/24.2.7.2$Linux_X86_64 LibreOffice_project/420$Build-2</Application>
  <AppVersion>15.0000</AppVersion>
  <Pages>4</Pages>
  <Words>1082</Words>
  <Characters>6452</Characters>
  <CharactersWithSpaces>7429</CharactersWithSpaces>
  <Paragraphs>96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es-MX</dc:language>
  <cp:lastModifiedBy/>
  <dcterms:modified xsi:type="dcterms:W3CDTF">2026-09-18T14:57:31Z</dcterms:modified>
  <cp:revision>2</cp:revision>
  <dc:subject/>
  <dc:title/>
</cp:coreProperties>
</file>