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9.odttf" ContentType="application/vnd.openxmlformats-officedocument.obfuscatedFont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4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6.odttf" ContentType="application/vnd.openxmlformats-officedocument.obfuscatedFont"/>
  <Override PartName="/word/fonts/font12.odttf" ContentType="application/vnd.openxmlformats-officedocument.obfuscatedFont"/>
  <Override PartName="/word/fonts/font5.odttf" ContentType="application/vnd.openxmlformats-officedocument.obfuscatedFont"/>
  <Override PartName="/word/fonts/font11.odttf" ContentType="application/vnd.openxmlformats-officedocument.obfuscatedFont"/>
  <Override PartName="/word/fonts/font24.odttf" ContentType="application/vnd.openxmlformats-officedocument.obfuscatedFont"/>
  <Override PartName="/word/fonts/font3.odttf" ContentType="application/vnd.openxmlformats-officedocument.obfuscatedFont"/>
  <Override PartName="/word/fonts/font23.odttf" ContentType="application/vnd.openxmlformats-officedocument.obfuscatedFont"/>
  <Override PartName="/word/fonts/font2.odttf" ContentType="application/vnd.openxmlformats-officedocument.obfuscatedFont"/>
  <Override PartName="/word/fonts/font22.odttf" ContentType="application/vnd.openxmlformats-officedocument.obfuscatedFont"/>
  <Override PartName="/word/fonts/font1.odttf" ContentType="application/vnd.openxmlformats-officedocument.obfuscatedFont"/>
  <Override PartName="/word/fonts/font4.odttf" ContentType="application/vnd.openxmlformats-officedocument.obfuscatedFont"/>
  <Override PartName="/word/fonts/font10.odttf" ContentType="application/vnd.openxmlformats-officedocument.obfuscatedFont"/>
  <Override PartName="/word/fonts/font21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16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pBdr/>
        <w:shd w:val="clear" w:fill="auto"/>
        <w:spacing w:lineRule="auto" w:line="273" w:before="0" w:after="0"/>
        <w:jc w:val="center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INFORME DE EVALUACIÓN Y COMPARATIVA TÉCNICO-ECONÓMICA:</w:t>
      </w:r>
    </w:p>
    <w:p>
      <w:pPr>
        <w:pStyle w:val="Heading3"/>
        <w:pBdr/>
        <w:shd w:val="clear" w:fill="auto"/>
        <w:spacing w:lineRule="auto" w:line="273" w:before="0" w:after="0"/>
        <w:jc w:val="center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 xml:space="preserve"> </w:t>
      </w:r>
      <w:r>
        <w:rPr>
          <w:rFonts w:eastAsia="Arial" w:cs="Arial"/>
          <w:color w:val="1F1F1F"/>
          <w:sz w:val="20"/>
          <w:szCs w:val="20"/>
        </w:rPr>
        <w:t>ALMACENAMIENTO LOCAL (NAS/LDAP) VS. SOLUCIONES EN LA NUBE</w:t>
      </w:r>
    </w:p>
    <w:p>
      <w:pPr>
        <w:pStyle w:val="normal1"/>
        <w:pBdr/>
        <w:shd w:val="clear" w:fill="auto"/>
        <w:spacing w:lineRule="auto" w:line="273" w:before="0" w:after="0"/>
        <w:jc w:val="center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jc w:val="center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Evaluación de la Infraestructura de Servidores: Servidor NAS Local vs. Servicios Cloud y Estimación de Costos de Alojamientos Nube / Correo para 500 Usuarios</w:t>
      </w:r>
    </w:p>
    <w:p>
      <w:pPr>
        <w:pStyle w:val="Heading3"/>
        <w:pBdr/>
        <w:shd w:val="clear" w:fill="auto"/>
        <w:spacing w:lineRule="auto" w:line="273" w:before="0" w:after="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En el marco de las actividades desarrolladas en la Unidad Informática, se realizó un análisis integral para evaluar la sostenibilidad, costos, rendimiento y seguridad de mantener el servidor NAS local (con integración al directorio LDAP) frente a la posibilidad de migrar hacia servicios en la nube (Cloud storage / SaaS).</w:t>
      </w:r>
    </w:p>
    <w:p>
      <w:pPr>
        <w:pStyle w:val="normal1"/>
        <w:pBdr/>
        <w:shd w:val="clear" w:fill="auto"/>
        <w:spacing w:lineRule="auto" w:line="273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Para fundamentar la toma de decisiones presupuestales de la facultad, este informe consolida la evaluación técnica local y los costos de mercado vigentes para el alojamiento de 500 cuentas corporativas bajo el dominio @fenf.edu.uy.</w:t>
      </w:r>
    </w:p>
    <w:p>
      <w:pPr>
        <w:pStyle w:val="normal1"/>
        <w:pBdr/>
        <w:shd w:val="clear" w:fill="auto"/>
        <w:spacing w:lineRule="auto" w:line="273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Situación Actual y Análisis Técnico Local (NAS + LDAP)</w:t>
      </w:r>
    </w:p>
    <w:p>
      <w:pPr>
        <w:pStyle w:val="normal1"/>
        <w:pBdr/>
        <w:shd w:val="clear" w:fill="auto"/>
        <w:spacing w:lineRule="auto" w:line="273" w:before="0" w:after="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La facultad cuenta con un servidor de almacenamiento NAS local configurado con autenticación centralizada LDAP, el cual brinda acceso restringido a carpetas compartidas y documentos de trabajo según los permisos otorgados a docentes, TAS y direcciones institucionales.</w:t>
      </w:r>
    </w:p>
    <w:p>
      <w:pPr>
        <w:pStyle w:val="normal1"/>
        <w:numPr>
          <w:ilvl w:val="0"/>
          <w:numId w:val="1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Seguridad y Control:</w:t>
      </w:r>
      <w:r>
        <w:rPr>
          <w:rFonts w:eastAsia="Arial" w:cs="Arial"/>
          <w:color w:val="1F1F1F"/>
          <w:sz w:val="20"/>
          <w:szCs w:val="20"/>
        </w:rPr>
        <w:t xml:space="preserve"> Alta granularidad en los permisos. Los datos no salen del perímetro institucional de la facultad.</w:t>
      </w:r>
    </w:p>
    <w:p>
      <w:pPr>
        <w:pStyle w:val="normal1"/>
        <w:numPr>
          <w:ilvl w:val="0"/>
          <w:numId w:val="1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Rendimiento:</w:t>
      </w:r>
      <w:r>
        <w:rPr>
          <w:rFonts w:eastAsia="Arial" w:cs="Arial"/>
          <w:color w:val="1F1F1F"/>
          <w:sz w:val="20"/>
          <w:szCs w:val="20"/>
        </w:rPr>
        <w:t xml:space="preserve"> Latencia mínima en red local Ethernet a 1 Gbps / 10 Gbps para la transferencia de archivos pesados.</w:t>
      </w:r>
    </w:p>
    <w:p>
      <w:pPr>
        <w:pStyle w:val="normal1"/>
        <w:numPr>
          <w:ilvl w:val="0"/>
          <w:numId w:val="1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Costos Operativos Actuales:</w:t>
      </w:r>
      <w:r>
        <w:rPr>
          <w:rFonts w:eastAsia="Arial" w:cs="Arial"/>
          <w:color w:val="1F1F1F"/>
          <w:sz w:val="20"/>
          <w:szCs w:val="20"/>
        </w:rPr>
        <w:t xml:space="preserve"> Amortizados. Sin costos de licencias mensuales por almacenamiento.</w:t>
      </w:r>
    </w:p>
    <w:p>
      <w:pPr>
        <w:pStyle w:val="normal1"/>
        <w:numPr>
          <w:ilvl w:val="0"/>
          <w:numId w:val="1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Riesgos Identificados:</w:t>
      </w:r>
      <w:r>
        <w:rPr>
          <w:rFonts w:eastAsia="Arial" w:cs="Arial"/>
          <w:color w:val="1F1F1F"/>
          <w:sz w:val="20"/>
          <w:szCs w:val="20"/>
        </w:rPr>
        <w:t xml:space="preserve"> Dependencia de la infraestructura de hardware local, necesidad de renovaciones periódicas de discos/NAS y exposición ante fallas eléctricas o físicas en la sala de servidores.</w:t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59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Estudio Comparativo de Costos de Alojamientos Nube / Servicios SaaS (500 Cuentas)</w:t>
      </w:r>
    </w:p>
    <w:p>
      <w:pPr>
        <w:pStyle w:val="normal1"/>
        <w:pBdr/>
        <w:shd w:val="clear" w:fill="auto"/>
        <w:spacing w:lineRule="auto" w:line="273" w:before="0" w:after="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A continuación, se detalla la comparativa proyectada para la contratación de almacenamiento corporativo y casillas de correo institucional para 500 usuarios del dominio @fenf.edu.uy:</w:t>
      </w:r>
    </w:p>
    <w:p>
      <w:pPr>
        <w:pStyle w:val="normal1"/>
        <w:pBdr/>
        <w:shd w:val="clear" w:fill="auto"/>
        <w:spacing w:lineRule="auto" w:line="273"/>
        <w:rPr>
          <w:rFonts w:ascii="Arial" w:hAnsi="Arial" w:eastAsia="Arial" w:cs="Arial"/>
          <w:color w:val="1F1F1F"/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</w:r>
    </w:p>
    <w:tbl>
      <w:tblPr>
        <w:tblStyle w:val="Table1"/>
        <w:tblW w:w="9477" w:type="dxa"/>
        <w:jc w:val="left"/>
        <w:tblInd w:w="-83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600"/>
      </w:tblPr>
      <w:tblGrid>
        <w:gridCol w:w="2564"/>
        <w:gridCol w:w="2318"/>
        <w:gridCol w:w="2223"/>
        <w:gridCol w:w="2372"/>
      </w:tblGrid>
      <w:tr>
        <w:trPr/>
        <w:tc>
          <w:tcPr>
            <w:tcW w:w="25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EFEFEF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color w:val="1F1F1F"/>
                <w:sz w:val="20"/>
                <w:szCs w:val="20"/>
                <w:shd w:fill="auto" w:val="clear"/>
              </w:rPr>
              <w:t>Proveedor / Solución</w:t>
            </w:r>
          </w:p>
        </w:tc>
        <w:tc>
          <w:tcPr>
            <w:tcW w:w="23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EFEFEF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color w:val="1F1F1F"/>
                <w:sz w:val="20"/>
                <w:szCs w:val="20"/>
                <w:shd w:fill="auto" w:val="clear"/>
              </w:rPr>
              <w:t>Precio Estimado por Cuenta (Mensual)</w:t>
            </w:r>
          </w:p>
        </w:tc>
        <w:tc>
          <w:tcPr>
            <w:tcW w:w="22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EFEFEF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color w:val="1F1F1F"/>
                <w:sz w:val="20"/>
                <w:szCs w:val="20"/>
                <w:shd w:fill="auto" w:val="clear"/>
              </w:rPr>
              <w:t>Costo Mensual Total (500 casillas)</w:t>
            </w:r>
          </w:p>
        </w:tc>
        <w:tc>
          <w:tcPr>
            <w:tcW w:w="2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EFEFEF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color w:val="1F1F1F"/>
                <w:sz w:val="20"/>
                <w:szCs w:val="20"/>
                <w:shd w:fill="auto" w:val="clear"/>
              </w:rPr>
              <w:t>Costo Anual Estimado (USD)</w:t>
            </w:r>
          </w:p>
        </w:tc>
      </w:tr>
      <w:tr>
        <w:trPr>
          <w:trHeight w:val="740" w:hRule="exact"/>
        </w:trPr>
        <w:tc>
          <w:tcPr>
            <w:tcW w:w="25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/>
              <w:rPr>
                <w:sz w:val="16"/>
                <w:szCs w:val="16"/>
              </w:rPr>
            </w:pPr>
            <w:r>
              <w:rPr>
                <w:rFonts w:eastAsia="Arial" w:cs="Arial"/>
                <w:b/>
                <w:bCs/>
                <w:color w:val="1F1F1F"/>
                <w:sz w:val="16"/>
                <w:szCs w:val="16"/>
              </w:rPr>
              <w:t>Netgate</w:t>
            </w:r>
            <w:r>
              <w:rPr>
                <w:rFonts w:eastAsia="Arial" w:cs="Arial"/>
                <w:color w:val="1F1F1F"/>
                <w:sz w:val="16"/>
                <w:szCs w:val="16"/>
              </w:rPr>
              <w:t xml:space="preserve"> (Hosting Tradicional / Zimbra)</w:t>
            </w:r>
          </w:p>
        </w:tc>
        <w:tc>
          <w:tcPr>
            <w:tcW w:w="23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color w:val="1F1F1F"/>
                <w:sz w:val="16"/>
                <w:szCs w:val="16"/>
              </w:rPr>
              <w:t>~USD 3,00 – USD 4,00</w:t>
            </w:r>
          </w:p>
        </w:tc>
        <w:tc>
          <w:tcPr>
            <w:tcW w:w="22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color w:val="1F1F1F"/>
                <w:sz w:val="16"/>
                <w:szCs w:val="16"/>
              </w:rPr>
              <w:t>~USD 1.500 – USD 2.000</w:t>
            </w:r>
          </w:p>
        </w:tc>
        <w:tc>
          <w:tcPr>
            <w:tcW w:w="2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b/>
                <w:bCs/>
                <w:color w:val="1F1F1F"/>
                <w:sz w:val="16"/>
                <w:szCs w:val="16"/>
              </w:rPr>
              <w:t>~USD 18.000 – USD 24.000</w:t>
            </w:r>
          </w:p>
        </w:tc>
      </w:tr>
      <w:tr>
        <w:trPr>
          <w:trHeight w:val="736" w:hRule="exact"/>
        </w:trPr>
        <w:tc>
          <w:tcPr>
            <w:tcW w:w="25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b/>
                <w:bCs/>
                <w:color w:val="1F1F1F"/>
                <w:sz w:val="16"/>
                <w:szCs w:val="16"/>
              </w:rPr>
              <w:t>Google Workspace</w:t>
            </w:r>
            <w:r>
              <w:rPr>
                <w:rFonts w:eastAsia="Arial" w:cs="Arial"/>
                <w:color w:val="1F1F1F"/>
                <w:sz w:val="16"/>
                <w:szCs w:val="16"/>
              </w:rPr>
              <w:t xml:space="preserve"> (Business Starter)</w:t>
            </w:r>
          </w:p>
        </w:tc>
        <w:tc>
          <w:tcPr>
            <w:tcW w:w="23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color w:val="1F1F1F"/>
                <w:sz w:val="16"/>
                <w:szCs w:val="16"/>
              </w:rPr>
              <w:t>USD 7,00 – USD 8,40</w:t>
            </w:r>
          </w:p>
        </w:tc>
        <w:tc>
          <w:tcPr>
            <w:tcW w:w="22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color w:val="1F1F1F"/>
                <w:sz w:val="16"/>
                <w:szCs w:val="16"/>
              </w:rPr>
              <w:t>USD 3.500 – USD 4.200</w:t>
            </w:r>
          </w:p>
        </w:tc>
        <w:tc>
          <w:tcPr>
            <w:tcW w:w="2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b/>
                <w:bCs/>
                <w:color w:val="1F1F1F"/>
                <w:sz w:val="16"/>
                <w:szCs w:val="16"/>
              </w:rPr>
              <w:t>USD 42.000 – USD 50.400</w:t>
            </w:r>
          </w:p>
        </w:tc>
      </w:tr>
      <w:tr>
        <w:trPr>
          <w:trHeight w:val="805" w:hRule="exact"/>
        </w:trPr>
        <w:tc>
          <w:tcPr>
            <w:tcW w:w="25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b/>
                <w:bCs/>
                <w:color w:val="1F1F1F"/>
                <w:sz w:val="16"/>
                <w:szCs w:val="16"/>
              </w:rPr>
              <w:t>Microsoft 365</w:t>
            </w:r>
            <w:r>
              <w:rPr>
                <w:rFonts w:eastAsia="Arial" w:cs="Arial"/>
                <w:color w:val="1F1F1F"/>
                <w:sz w:val="16"/>
                <w:szCs w:val="16"/>
              </w:rPr>
              <w:t xml:space="preserve"> (Exchange Online Plan 1)</w:t>
            </w:r>
          </w:p>
        </w:tc>
        <w:tc>
          <w:tcPr>
            <w:tcW w:w="23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color w:val="1F1F1F"/>
                <w:sz w:val="16"/>
                <w:szCs w:val="16"/>
              </w:rPr>
              <w:t>USD 4,00 – USD 6,00</w:t>
            </w:r>
          </w:p>
        </w:tc>
        <w:tc>
          <w:tcPr>
            <w:tcW w:w="22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color w:val="1F1F1F"/>
                <w:sz w:val="16"/>
                <w:szCs w:val="16"/>
              </w:rPr>
              <w:t>USD 2.000 – USD 3.000</w:t>
            </w:r>
          </w:p>
        </w:tc>
        <w:tc>
          <w:tcPr>
            <w:tcW w:w="2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sz w:val="16"/>
                <w:szCs w:val="16"/>
              </w:rPr>
            </w:pPr>
            <w:r>
              <w:rPr>
                <w:rFonts w:eastAsia="Arial" w:cs="Arial"/>
                <w:b/>
                <w:bCs/>
                <w:color w:val="1F1F1F"/>
                <w:sz w:val="16"/>
                <w:szCs w:val="16"/>
              </w:rPr>
              <w:t>USD 24.000 – USD 36.000</w:t>
            </w:r>
          </w:p>
        </w:tc>
      </w:tr>
    </w:tbl>
    <w:p>
      <w:pPr>
        <w:pStyle w:val="normal1"/>
        <w:pBdr/>
        <w:shd w:val="clear" w:fill="auto"/>
        <w:spacing w:lineRule="auto" w:line="273"/>
        <w:rPr>
          <w:rFonts w:ascii="Arial" w:hAnsi="Arial" w:eastAsia="Arial" w:cs="Arial"/>
          <w:i/>
          <w:i/>
          <w:iCs/>
          <w:color w:val="1F1F1F"/>
        </w:rPr>
      </w:pPr>
      <w:r>
        <w:rPr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sz w:val="20"/>
          <w:szCs w:val="20"/>
        </w:rPr>
      </w:pPr>
      <w:r>
        <w:rPr>
          <w:rFonts w:eastAsia="Arial" w:cs="Arial"/>
          <w:i/>
          <w:iCs/>
          <w:color w:val="1F1F1F"/>
          <w:sz w:val="20"/>
          <w:szCs w:val="20"/>
        </w:rPr>
        <w:t>Nota: Los precios están expresados en dólares estadounidenses (USD) y no incluyen impuestos.</w:t>
      </w:r>
    </w:p>
    <w:p>
      <w:pPr>
        <w:pStyle w:val="normal1"/>
        <w:pBdr/>
        <w:shd w:val="clear" w:fill="auto"/>
        <w:spacing w:lineRule="auto" w:line="273"/>
        <w:rPr>
          <w:rFonts w:ascii="Arial" w:hAnsi="Arial" w:eastAsia="Arial" w:cs="Arial"/>
          <w:i/>
          <w:i/>
          <w:iCs/>
          <w:color w:val="1F1F1F"/>
        </w:rPr>
      </w:pPr>
      <w:r>
        <w:rPr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Análsis Detallado de las Alternativas Evaluadas</w:t>
      </w:r>
    </w:p>
    <w:p>
      <w:pPr>
        <w:pStyle w:val="normal1"/>
        <w:pBdr/>
        <w:shd w:val="clear" w:fill="auto"/>
        <w:spacing w:lineRule="auto" w:line="273" w:before="0" w:after="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Heading4"/>
        <w:pBdr/>
        <w:shd w:val="clear" w:fill="auto"/>
        <w:spacing w:lineRule="auto" w:line="273" w:before="0" w:after="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A. Netgate (Proveedor Local)</w:t>
      </w:r>
    </w:p>
    <w:p>
      <w:pPr>
        <w:pStyle w:val="normal1"/>
        <w:numPr>
          <w:ilvl w:val="0"/>
          <w:numId w:val="2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Plataforma:</w:t>
      </w:r>
      <w:r>
        <w:rPr>
          <w:rFonts w:eastAsia="Arial" w:cs="Arial"/>
          <w:color w:val="1F1F1F"/>
          <w:sz w:val="20"/>
          <w:szCs w:val="20"/>
        </w:rPr>
        <w:t xml:space="preserve"> Servidores locales con entorno cPanel/Zimbra o webmail corporativo.</w:t>
      </w:r>
    </w:p>
    <w:p>
      <w:pPr>
        <w:pStyle w:val="normal1"/>
        <w:numPr>
          <w:ilvl w:val="0"/>
          <w:numId w:val="2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Ventajas:</w:t>
      </w:r>
      <w:r>
        <w:rPr>
          <w:rFonts w:eastAsia="Arial" w:cs="Arial"/>
          <w:color w:val="1F1F1F"/>
          <w:sz w:val="20"/>
          <w:szCs w:val="20"/>
        </w:rPr>
        <w:t xml:space="preserve"> Facturación y soporte técnico local. Costos ajustados para presupuestos acotados.</w:t>
      </w:r>
    </w:p>
    <w:p>
      <w:pPr>
        <w:pStyle w:val="normal1"/>
        <w:numPr>
          <w:ilvl w:val="0"/>
          <w:numId w:val="2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Inconvenientes:</w:t>
      </w:r>
      <w:r>
        <w:rPr>
          <w:rFonts w:eastAsia="Arial" w:cs="Arial"/>
          <w:color w:val="1F1F1F"/>
          <w:sz w:val="20"/>
          <w:szCs w:val="20"/>
        </w:rPr>
        <w:t xml:space="preserve"> Herramientas de colaboración limitadas en comparación con los ecosistemas Cloud globales.</w:t>
      </w:r>
    </w:p>
    <w:p>
      <w:pPr>
        <w:pStyle w:val="Heading4"/>
        <w:pBdr/>
        <w:shd w:val="clear" w:fill="auto"/>
        <w:spacing w:lineRule="auto" w:line="273" w:before="0" w:after="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B. Google Workspace (Gmail / Drive Corporativo)</w:t>
      </w:r>
    </w:p>
    <w:p>
      <w:pPr>
        <w:pStyle w:val="normal1"/>
        <w:numPr>
          <w:ilvl w:val="0"/>
          <w:numId w:val="3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Plataforma:</w:t>
      </w:r>
      <w:r>
        <w:rPr>
          <w:rFonts w:eastAsia="Arial" w:cs="Arial"/>
          <w:color w:val="1F1F1F"/>
          <w:sz w:val="20"/>
          <w:szCs w:val="20"/>
        </w:rPr>
        <w:t xml:space="preserve"> Gmail, Google Drive (30 GB por usuario), Google Meet y suite ofimática en la nube.</w:t>
      </w:r>
    </w:p>
    <w:p>
      <w:pPr>
        <w:pStyle w:val="normal1"/>
        <w:numPr>
          <w:ilvl w:val="0"/>
          <w:numId w:val="3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Ventajas:</w:t>
      </w:r>
      <w:r>
        <w:rPr>
          <w:rFonts w:eastAsia="Arial" w:cs="Arial"/>
          <w:color w:val="1F1F1F"/>
          <w:sz w:val="20"/>
          <w:szCs w:val="20"/>
        </w:rPr>
        <w:t xml:space="preserve"> Interfaz altamente familiar para los usuarios, excelente filtro antispam e integración nativa con herramientas educativas.</w:t>
      </w:r>
    </w:p>
    <w:p>
      <w:pPr>
        <w:pStyle w:val="normal1"/>
        <w:numPr>
          <w:ilvl w:val="0"/>
          <w:numId w:val="3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Inconvenientes:</w:t>
      </w:r>
      <w:r>
        <w:rPr>
          <w:rFonts w:eastAsia="Arial" w:cs="Arial"/>
          <w:color w:val="1F1F1F"/>
          <w:sz w:val="20"/>
          <w:szCs w:val="20"/>
        </w:rPr>
        <w:t xml:space="preserve"> Costo anual recurrente elevado bajo la tarifa estándar comercial.</w:t>
      </w:r>
    </w:p>
    <w:p>
      <w:pPr>
        <w:pStyle w:val="Heading4"/>
        <w:pBdr/>
        <w:shd w:val="clear" w:fill="auto"/>
        <w:spacing w:lineRule="auto" w:line="273" w:before="0" w:after="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C. Microsoft 365 (Exchange Online / OneDrive)</w:t>
      </w:r>
    </w:p>
    <w:p>
      <w:pPr>
        <w:pStyle w:val="normal1"/>
        <w:numPr>
          <w:ilvl w:val="0"/>
          <w:numId w:val="4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Plataforma:</w:t>
      </w:r>
      <w:r>
        <w:rPr>
          <w:rFonts w:eastAsia="Arial" w:cs="Arial"/>
          <w:color w:val="1F1F1F"/>
          <w:sz w:val="20"/>
          <w:szCs w:val="20"/>
        </w:rPr>
        <w:t xml:space="preserve"> Exchange Online (buzones de 50 GB) con acceso mediante cliente Outlook web/móvil y OneDrive.</w:t>
      </w:r>
    </w:p>
    <w:p>
      <w:pPr>
        <w:pStyle w:val="normal1"/>
        <w:numPr>
          <w:ilvl w:val="0"/>
          <w:numId w:val="4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Ventajas:</w:t>
      </w:r>
      <w:r>
        <w:rPr>
          <w:rFonts w:eastAsia="Arial" w:cs="Arial"/>
          <w:color w:val="1F1F1F"/>
          <w:sz w:val="20"/>
          <w:szCs w:val="20"/>
        </w:rPr>
        <w:t xml:space="preserve"> Gran capacidad de almacenamiento por casilla, excelente gestión de calendarios compartidos y alta compatibilidad con el ecosistema de administración pública.</w:t>
      </w:r>
    </w:p>
    <w:p>
      <w:pPr>
        <w:pStyle w:val="normal1"/>
        <w:numPr>
          <w:ilvl w:val="0"/>
          <w:numId w:val="4"/>
        </w:numPr>
        <w:pBdr/>
        <w:shd w:val="clear" w:fill="auto"/>
        <w:spacing w:lineRule="auto" w:line="273"/>
        <w:ind w:hanging="360" w:left="59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Inconvenientes:</w:t>
      </w:r>
      <w:r>
        <w:rPr>
          <w:rFonts w:eastAsia="Arial" w:cs="Arial"/>
          <w:color w:val="1F1F1F"/>
          <w:sz w:val="20"/>
          <w:szCs w:val="20"/>
        </w:rPr>
        <w:t xml:space="preserve"> Costo fijo comercial anual considerable.</w:t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59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Observación Estratégica: Convenios de Educación (UDELAR)</w:t>
      </w:r>
    </w:p>
    <w:p>
      <w:pPr>
        <w:pStyle w:val="normal1"/>
        <w:pBdr/>
        <w:shd w:val="clear" w:fill="auto"/>
        <w:spacing w:lineRule="auto" w:line="273" w:before="0" w:after="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Debido a que el dominio es @fenf.edu.uy y pertenece a la Universidad de la República (UDELAR):</w:t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60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 xml:space="preserve">Tanto </w:t>
      </w:r>
      <w:r>
        <w:rPr>
          <w:rFonts w:eastAsia="Arial" w:cs="Arial"/>
          <w:b/>
          <w:bCs/>
          <w:color w:val="1F1F1F"/>
          <w:sz w:val="20"/>
          <w:szCs w:val="20"/>
        </w:rPr>
        <w:t>Microsoft 365 Education (Planes A1)</w:t>
      </w:r>
      <w:r>
        <w:rPr>
          <w:rFonts w:eastAsia="Arial" w:cs="Arial"/>
          <w:color w:val="1F1F1F"/>
          <w:sz w:val="20"/>
          <w:szCs w:val="20"/>
        </w:rPr>
        <w:t xml:space="preserve"> como </w:t>
      </w:r>
      <w:r>
        <w:rPr>
          <w:rFonts w:eastAsia="Arial" w:cs="Arial"/>
          <w:b/>
          <w:bCs/>
          <w:color w:val="1F1F1F"/>
          <w:sz w:val="20"/>
          <w:szCs w:val="20"/>
        </w:rPr>
        <w:t>Google Workspace for Education Fundamentals</w:t>
      </w:r>
      <w:r>
        <w:rPr>
          <w:rFonts w:eastAsia="Arial" w:cs="Arial"/>
          <w:color w:val="1F1F1F"/>
          <w:sz w:val="20"/>
          <w:szCs w:val="20"/>
        </w:rPr>
        <w:t xml:space="preserve"> cuentan con programas de licenciamiento </w:t>
      </w:r>
      <w:r>
        <w:rPr>
          <w:rFonts w:eastAsia="Arial" w:cs="Arial"/>
          <w:b/>
          <w:bCs/>
          <w:color w:val="1F1F1F"/>
          <w:sz w:val="20"/>
          <w:szCs w:val="20"/>
        </w:rPr>
        <w:t>gratuito o altamente subvencionado</w:t>
      </w:r>
      <w:r>
        <w:rPr>
          <w:rFonts w:eastAsia="Arial" w:cs="Arial"/>
          <w:color w:val="1F1F1F"/>
          <w:sz w:val="20"/>
          <w:szCs w:val="20"/>
        </w:rPr>
        <w:t xml:space="preserve"> para instituciones educativas públicas.</w:t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60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Sin embargo se solicitó información a distintos proveedores pero no recibimos respuesta</w:t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60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60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 xml:space="preserve">Antes de asumir un gasto comercial de la escala indicada en la tabla (USD 18.000 - USD 50.000 anuales), </w:t>
      </w:r>
      <w:r>
        <w:rPr>
          <w:rFonts w:eastAsia="Arial" w:cs="Arial"/>
          <w:color w:val="1F1F1F"/>
          <w:sz w:val="20"/>
          <w:szCs w:val="20"/>
        </w:rPr>
        <w:t xml:space="preserve">hay que </w:t>
      </w:r>
      <w:r>
        <w:rPr>
          <w:rFonts w:eastAsia="Arial" w:cs="Arial"/>
          <w:color w:val="1F1F1F"/>
          <w:sz w:val="20"/>
          <w:szCs w:val="20"/>
        </w:rPr>
        <w:t>solicitar formalmente la validación del dominio .edu.uy ante los partners oficiales de Microsoft y Google en Uruguay o coordinar el trámite centralizado mediante SeCIU.</w:t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60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Conclusión y Recomendación</w:t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600"/>
        <w:rPr>
          <w:rFonts w:ascii="Arial" w:hAnsi="Arial" w:eastAsia="Arial" w:cs="Arial"/>
          <w:b/>
          <w:bCs/>
          <w:color w:val="1F1F1F"/>
        </w:rPr>
      </w:pPr>
      <w:r>
        <w:rPr>
          <w:sz w:val="20"/>
          <w:szCs w:val="20"/>
        </w:rPr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60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Mantener Almacenamiento Local (NAS/LDAP):</w:t>
      </w:r>
      <w:r>
        <w:rPr>
          <w:rFonts w:eastAsia="Arial" w:cs="Arial"/>
          <w:color w:val="1F1F1F"/>
          <w:sz w:val="20"/>
          <w:szCs w:val="20"/>
        </w:rPr>
        <w:t xml:space="preserve"> Para el resguardo de archivos voluminosos e información interna sensible, el servidor NAS local continúa siendo la opción más económica y eficiente en términos de velocidad dentro de la red local de la facultad.</w:t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600"/>
        <w:rPr>
          <w:rFonts w:ascii="Arial" w:hAnsi="Arial" w:eastAsia="Arial" w:cs="Arial"/>
          <w:b/>
          <w:bCs/>
          <w:color w:val="1F1F1F"/>
        </w:rPr>
      </w:pPr>
      <w:r>
        <w:rPr>
          <w:sz w:val="20"/>
          <w:szCs w:val="20"/>
        </w:rPr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600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Aprovechar Convenios Cloud para Correo y Colaboración:</w:t>
      </w:r>
      <w:r>
        <w:rPr>
          <w:rFonts w:eastAsia="Arial" w:cs="Arial"/>
          <w:color w:val="1F1F1F"/>
          <w:sz w:val="20"/>
          <w:szCs w:val="20"/>
        </w:rPr>
        <w:t xml:space="preserve"> Tramitar el licenciamiento educativo sin costo (</w:t>
      </w:r>
      <w:r>
        <w:rPr>
          <w:rFonts w:eastAsia="Arial" w:cs="Arial"/>
          <w:i/>
          <w:iCs/>
          <w:color w:val="1F1F1F"/>
          <w:sz w:val="20"/>
          <w:szCs w:val="20"/>
        </w:rPr>
        <w:t>Education Fundamentals</w:t>
      </w:r>
      <w:r>
        <w:rPr>
          <w:rFonts w:eastAsia="Arial" w:cs="Arial"/>
          <w:color w:val="1F1F1F"/>
          <w:sz w:val="20"/>
          <w:szCs w:val="20"/>
        </w:rPr>
        <w:t>) para la suite nube/correo, evitando erogaciones presupuestales comerciales y logrando la migración paulatina de servicios.</w:t>
      </w:r>
    </w:p>
    <w:p>
      <w:pPr>
        <w:pStyle w:val="normal1"/>
        <w:pBdr/>
        <w:shd w:val="clear" w:fill="auto"/>
        <w:spacing w:lineRule="auto" w:line="273"/>
        <w:ind w:hanging="360" w:left="60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ind w:hanging="360" w:left="60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ind w:hanging="360" w:left="600"/>
        <w:rPr>
          <w:rFonts w:ascii="Arial" w:hAnsi="Arial" w:eastAsia="Arial" w:cs="Arial"/>
          <w:color w:val="1F1F1F"/>
        </w:rPr>
      </w:pPr>
      <w:r>
        <w:rPr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sz w:val="20"/>
          <w:szCs w:val="20"/>
        </w:rPr>
      </w:pPr>
      <w:r>
        <w:rPr>
          <w:rFonts w:eastAsia="Arial" w:cs="Arial"/>
          <w:b/>
          <w:bCs/>
          <w:color w:val="1F1F1F"/>
          <w:sz w:val="20"/>
          <w:szCs w:val="20"/>
        </w:rPr>
        <w:t>Rafael Álvarez</w:t>
      </w:r>
    </w:p>
    <w:p>
      <w:pPr>
        <w:pStyle w:val="normal1"/>
        <w:pBdr/>
        <w:shd w:val="clear" w:fill="auto"/>
        <w:spacing w:lineRule="auto" w:line="273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Unidad Informática — Facultad de Enfermería</w:t>
      </w:r>
    </w:p>
    <w:p>
      <w:pPr>
        <w:pStyle w:val="normal1"/>
        <w:pBdr/>
        <w:shd w:val="clear" w:fill="auto"/>
        <w:spacing w:lineRule="auto" w:line="273"/>
        <w:rPr>
          <w:sz w:val="20"/>
          <w:szCs w:val="20"/>
        </w:rPr>
      </w:pPr>
      <w:r>
        <w:rPr>
          <w:rFonts w:eastAsia="Arial" w:cs="Arial"/>
          <w:color w:val="1F1F1F"/>
          <w:sz w:val="20"/>
          <w:szCs w:val="20"/>
        </w:rPr>
        <w:t>Universidad de la República</w:t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Arial"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Liberation Sans">
    <w:altName w:val="Arial"/>
    <w:charset w:val="01"/>
    <w:family w:val="swiss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Georgia">
    <w:charset w:val="01"/>
    <w:family w:val="roman"/>
    <w:pitch w:val="variable"/>
    <w:embedRegular r:id="rId21" w:fontKey="{15014A78-CABC-4EF0-12AC-5CD89AEFDE15}"/>
    <w:embedBold r:id="rId22" w:fontKey="{16014A78-CABC-4EF0-12AC-5CD89AEFDE16}"/>
    <w:embedItalic r:id="rId23" w:fontKey="{17014A78-CABC-4EF0-12AC-5CD89AEFDE17}"/>
    <w:embedBoldItalic r:id="rId24" w:fontKey="{18014A78-CABC-4EF0-12AC-5CD89AEFDE18}"/>
  </w:font>
  <w:font w:name="Arial"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59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59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3">
    <w:lvl w:ilvl="0">
      <w:start w:val="1"/>
      <w:numFmt w:val="bullet"/>
      <w:lvlText w:val="●"/>
      <w:lvlJc w:val="left"/>
      <w:pPr>
        <w:tabs>
          <w:tab w:val="num" w:pos="0"/>
        </w:tabs>
        <w:ind w:left="59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4">
    <w:lvl w:ilvl="0">
      <w:start w:val="1"/>
      <w:numFmt w:val="bullet"/>
      <w:lvlText w:val="●"/>
      <w:lvlJc w:val="left"/>
      <w:pPr>
        <w:tabs>
          <w:tab w:val="num" w:pos="0"/>
        </w:tabs>
        <w:ind w:left="59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rFonts w:ascii="Arial" w:hAnsi="Arial" w:eastAsia="Arial" w:cs="Arial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rFonts w:ascii="Arial" w:hAnsi="Arial" w:eastAsia="Arial" w:cs="Arial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MX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MX" w:eastAsia="zh-CN" w:bidi="hi-IN"/>
    </w:rPr>
  </w:style>
  <w:style w:type="paragraph" w:styleId="Heading1">
    <w:name w:val="Heading 1"/>
    <w:basedOn w:val="normal1"/>
    <w:next w:val="normal1"/>
    <w:qFormat/>
    <w:pPr>
      <w:pBdr/>
      <w:shd w:val="clear" w:fill="auto"/>
      <w:spacing w:lineRule="auto" w:line="240" w:before="240" w:after="240"/>
    </w:pPr>
    <w:rPr>
      <w:b/>
      <w:bCs/>
      <w:i w:val="false"/>
      <w:iCs w:val="false"/>
      <w:sz w:val="48"/>
      <w:szCs w:val="48"/>
    </w:rPr>
  </w:style>
  <w:style w:type="paragraph" w:styleId="Heading2">
    <w:name w:val="Heading 2"/>
    <w:basedOn w:val="normal1"/>
    <w:next w:val="normal1"/>
    <w:qFormat/>
    <w:pPr>
      <w:pBdr/>
      <w:shd w:val="clear" w:fill="auto"/>
      <w:spacing w:lineRule="auto" w:line="240" w:before="225" w:after="225"/>
    </w:pPr>
    <w:rPr>
      <w:b/>
      <w:bCs/>
      <w:i w:val="false"/>
      <w:iCs w:val="false"/>
      <w:sz w:val="36"/>
      <w:szCs w:val="36"/>
    </w:rPr>
  </w:style>
  <w:style w:type="paragraph" w:styleId="Heading3">
    <w:name w:val="Heading 3"/>
    <w:basedOn w:val="normal1"/>
    <w:next w:val="normal1"/>
    <w:qFormat/>
    <w:pPr>
      <w:pBdr/>
      <w:shd w:val="clear" w:fill="auto"/>
      <w:spacing w:lineRule="auto" w:line="240" w:before="240" w:after="240"/>
    </w:pPr>
    <w:rPr>
      <w:b/>
      <w:bCs/>
      <w:i w:val="false"/>
      <w:iCs w:val="false"/>
      <w:sz w:val="28"/>
      <w:szCs w:val="28"/>
    </w:rPr>
  </w:style>
  <w:style w:type="paragraph" w:styleId="Heading4">
    <w:name w:val="Heading 4"/>
    <w:basedOn w:val="normal1"/>
    <w:next w:val="normal1"/>
    <w:qFormat/>
    <w:pPr>
      <w:pBdr/>
      <w:shd w:val="clear" w:fill="auto"/>
      <w:spacing w:lineRule="auto" w:line="240" w:before="255" w:after="255"/>
    </w:pPr>
    <w:rPr>
      <w:b/>
      <w:bCs/>
      <w:i w:val="false"/>
      <w:iCs w:val="false"/>
      <w:sz w:val="24"/>
      <w:szCs w:val="24"/>
    </w:rPr>
  </w:style>
  <w:style w:type="paragraph" w:styleId="Heading5">
    <w:name w:val="Heading 5"/>
    <w:basedOn w:val="normal1"/>
    <w:next w:val="normal1"/>
    <w:qFormat/>
    <w:pPr>
      <w:pBdr/>
      <w:shd w:val="clear" w:fill="auto"/>
      <w:spacing w:lineRule="auto" w:line="240" w:before="255" w:after="255"/>
    </w:pPr>
    <w:rPr>
      <w:b/>
      <w:bCs/>
      <w:i w:val="false"/>
      <w:iCs w:val="false"/>
      <w:sz w:val="18"/>
      <w:szCs w:val="18"/>
    </w:rPr>
  </w:style>
  <w:style w:type="paragraph" w:styleId="Heading6">
    <w:name w:val="Heading 6"/>
    <w:basedOn w:val="normal1"/>
    <w:next w:val="normal1"/>
    <w:qFormat/>
    <w:pPr>
      <w:pBdr/>
      <w:shd w:val="clear" w:fill="auto"/>
      <w:spacing w:lineRule="auto" w:line="240" w:before="360" w:after="360"/>
    </w:pPr>
    <w:rPr>
      <w:b/>
      <w:bCs/>
      <w:i w:val="false"/>
      <w:iCs w:val="false"/>
      <w:sz w:val="16"/>
      <w:szCs w:val="16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MX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LibreOffice/24.2.7.2$Linux_X86_64 LibreOffice_project/420$Build-2</Application>
  <AppVersion>15.0000</AppVersion>
  <Pages>2</Pages>
  <Words>701</Words>
  <Characters>4222</Characters>
  <CharactersWithSpaces>4865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es-MX</dc:language>
  <cp:lastModifiedBy/>
  <dcterms:modified xsi:type="dcterms:W3CDTF">2026-09-18T16:11:03Z</dcterms:modified>
  <cp:revision>1</cp:revision>
  <dc:subject/>
  <dc:title/>
</cp:coreProperties>
</file>